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FB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38D239EB" wp14:editId="7404C7DB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FFB">
        <w:rPr>
          <w:b/>
        </w:rPr>
        <w:t>Geschichte und Geschehen</w:t>
      </w:r>
    </w:p>
    <w:p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:rsidR="00EE3B46" w:rsidRDefault="00BE3FFB" w:rsidP="00810136">
      <w:pPr>
        <w:pStyle w:val="stoffdeckblatttitel"/>
      </w:pPr>
      <w:r>
        <w:t>Geschichte</w:t>
      </w:r>
      <w:r w:rsidR="00FC22EA">
        <w:t xml:space="preserve"> | </w:t>
      </w:r>
      <w:r>
        <w:t>Gymnasium G</w:t>
      </w:r>
      <w:r w:rsidR="0025250A">
        <w:t>9</w:t>
      </w:r>
    </w:p>
    <w:p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:rsidR="008913F6" w:rsidRDefault="004E4BF9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4A8711E9" wp14:editId="3AC6F515">
            <wp:simplePos x="0" y="0"/>
            <wp:positionH relativeFrom="column">
              <wp:posOffset>-53340</wp:posOffset>
            </wp:positionH>
            <wp:positionV relativeFrom="paragraph">
              <wp:posOffset>147955</wp:posOffset>
            </wp:positionV>
            <wp:extent cx="1619250" cy="209910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9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Pr="00CA239D" w:rsidRDefault="008913F6" w:rsidP="00810136">
      <w:pPr>
        <w:spacing w:after="0" w:line="312" w:lineRule="auto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EF09A7" w:rsidRPr="008C63D0" w:rsidRDefault="00BE3FFB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Geschichte und Geschehen</w:t>
      </w:r>
      <w:r w:rsidR="008C63D0" w:rsidRPr="008C63D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1</w:t>
      </w:r>
      <w:r w:rsidR="008C63D0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</w:p>
    <w:p w:rsidR="008C63D0" w:rsidRP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8C63D0">
        <w:rPr>
          <w:rFonts w:ascii="Arial" w:hAnsi="Arial" w:cs="Arial"/>
          <w:sz w:val="16"/>
          <w:szCs w:val="16"/>
        </w:rPr>
        <w:t>ISBN: 978-3-12-</w:t>
      </w:r>
      <w:r w:rsidR="00BE3FFB">
        <w:rPr>
          <w:rFonts w:ascii="Arial" w:hAnsi="Arial" w:cs="Arial"/>
          <w:sz w:val="16"/>
          <w:szCs w:val="16"/>
        </w:rPr>
        <w:t>4430</w:t>
      </w:r>
      <w:r w:rsidR="00A33941">
        <w:rPr>
          <w:rFonts w:ascii="Arial" w:hAnsi="Arial" w:cs="Arial"/>
          <w:sz w:val="16"/>
          <w:szCs w:val="16"/>
        </w:rPr>
        <w:t>15</w:t>
      </w:r>
      <w:r w:rsidRPr="008C63D0">
        <w:rPr>
          <w:rFonts w:ascii="Arial" w:hAnsi="Arial" w:cs="Arial"/>
          <w:sz w:val="16"/>
          <w:szCs w:val="16"/>
        </w:rPr>
        <w:t>-</w:t>
      </w:r>
      <w:r w:rsidR="00A3394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:rsidR="00810136" w:rsidRDefault="00810136" w:rsidP="00810136">
      <w:pPr>
        <w:pStyle w:val="Hinweise"/>
        <w:rPr>
          <w:b/>
        </w:rPr>
      </w:pPr>
    </w:p>
    <w:p w:rsidR="00810136" w:rsidRDefault="00810136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846C78" w:rsidRDefault="00846C78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D5CBD" w:rsidRPr="00C71368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5B4D9C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BE3FFB" w:rsidRPr="000D5CBD" w:rsidRDefault="00BE3FFB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8185B" w:rsidRDefault="0008185B" w:rsidP="0008185B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Geschichte und Geschehen Band 1: </w:t>
            </w:r>
          </w:p>
          <w:p w:rsidR="000D5CBD" w:rsidRPr="0008185B" w:rsidRDefault="0008185B" w:rsidP="0008185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185B">
              <w:rPr>
                <w:rFonts w:ascii="Arial" w:hAnsi="Arial" w:cs="Arial"/>
                <w:color w:val="000000" w:themeColor="text1"/>
                <w:sz w:val="16"/>
                <w:szCs w:val="16"/>
              </w:rPr>
              <w:t>S. 33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:rsidR="00E06871" w:rsidRDefault="0008185B" w:rsidP="0008185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185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41 </w:t>
            </w:r>
            <w:r w:rsidR="00E068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r w:rsidRPr="0008185B">
              <w:rPr>
                <w:rFonts w:ascii="Arial" w:hAnsi="Arial" w:cs="Arial"/>
                <w:color w:val="000000" w:themeColor="text1"/>
                <w:sz w:val="16"/>
                <w:szCs w:val="16"/>
              </w:rPr>
              <w:t>Aufgabe 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S. 122 </w:t>
            </w:r>
            <w:r w:rsidR="00E068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Aufgabe 4;</w:t>
            </w:r>
          </w:p>
          <w:p w:rsidR="00A33941" w:rsidRDefault="00A33941" w:rsidP="0008185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44;</w:t>
            </w:r>
          </w:p>
          <w:p w:rsidR="00A33941" w:rsidRDefault="00A33941" w:rsidP="0008185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53;</w:t>
            </w:r>
          </w:p>
          <w:p w:rsidR="00A33941" w:rsidRDefault="00A33941" w:rsidP="0008185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68;</w:t>
            </w:r>
          </w:p>
          <w:p w:rsidR="00A33941" w:rsidRDefault="00A33941" w:rsidP="0008185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77;</w:t>
            </w:r>
          </w:p>
          <w:p w:rsidR="00A33941" w:rsidRDefault="00746138" w:rsidP="0008185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103</w:t>
            </w:r>
            <w:r w:rsidR="00A3394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:rsidR="0008185B" w:rsidRDefault="00746138" w:rsidP="0008185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126</w:t>
            </w:r>
            <w:r w:rsidR="0008185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f.;</w:t>
            </w:r>
          </w:p>
          <w:p w:rsidR="00E06871" w:rsidRDefault="00746138" w:rsidP="0008185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135</w:t>
            </w:r>
            <w:r w:rsidR="0008185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; </w:t>
            </w:r>
          </w:p>
          <w:p w:rsidR="00E06871" w:rsidRDefault="00746138" w:rsidP="0008185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</w:t>
            </w:r>
            <w:r w:rsidR="001C14F2">
              <w:rPr>
                <w:rFonts w:ascii="Arial" w:hAnsi="Arial" w:cs="Arial"/>
                <w:color w:val="000000" w:themeColor="text1"/>
                <w:sz w:val="16"/>
                <w:szCs w:val="16"/>
              </w:rPr>
              <w:t>6 / Aufgabe 6</w:t>
            </w:r>
            <w:r w:rsidR="0008185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; </w:t>
            </w:r>
          </w:p>
          <w:p w:rsidR="0008185B" w:rsidRDefault="00746138" w:rsidP="0008185B">
            <w:pPr>
              <w:spacing w:before="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163 / Aufgabe 5</w:t>
            </w:r>
            <w:r w:rsidR="0008185B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:rsidR="0008185B" w:rsidRPr="00F17CD6" w:rsidRDefault="00746138" w:rsidP="0008185B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173</w:t>
            </w: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9"/>
        <w:gridCol w:w="3260"/>
        <w:gridCol w:w="3402"/>
        <w:gridCol w:w="2977"/>
        <w:gridCol w:w="3172"/>
      </w:tblGrid>
      <w:tr w:rsidR="00B753A4" w:rsidRPr="00C71368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BE3FFB" w:rsidP="00D24C0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Geschichte und Geschehen Band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08185B" w:rsidRDefault="00DE1532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08185B">
              <w:rPr>
                <w:rFonts w:ascii="Arial" w:hAnsi="Arial" w:cs="Arial"/>
                <w:sz w:val="16"/>
                <w:szCs w:val="16"/>
              </w:rPr>
              <w:t xml:space="preserve">39 / Aufgabe 6; </w:t>
            </w:r>
          </w:p>
          <w:p w:rsidR="00BE3FF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80 f.;</w:t>
            </w:r>
          </w:p>
          <w:p w:rsidR="0008185B" w:rsidRDefault="00746138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133</w:t>
            </w:r>
            <w:r w:rsidR="0008185B">
              <w:rPr>
                <w:rFonts w:ascii="Arial" w:hAnsi="Arial" w:cs="Arial"/>
                <w:sz w:val="16"/>
                <w:szCs w:val="16"/>
              </w:rPr>
              <w:t xml:space="preserve"> / Aufgabe 7; </w:t>
            </w:r>
          </w:p>
          <w:p w:rsidR="0008185B" w:rsidRDefault="00746138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153</w:t>
            </w:r>
            <w:r w:rsidR="0008185B">
              <w:rPr>
                <w:rFonts w:ascii="Arial" w:hAnsi="Arial" w:cs="Arial"/>
                <w:sz w:val="16"/>
                <w:szCs w:val="16"/>
              </w:rPr>
              <w:t xml:space="preserve"> / Aufgabe 11;</w:t>
            </w:r>
          </w:p>
          <w:p w:rsidR="0008185B" w:rsidRDefault="00746138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183 / Aufgabe 7</w:t>
            </w:r>
          </w:p>
          <w:p w:rsidR="00BE3FFB" w:rsidRPr="00CF7ECB" w:rsidRDefault="00BE3FFB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FC53E2" w:rsidRDefault="00FC53E2" w:rsidP="00FC53E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Geschichte und Geschehen Band 1: </w:t>
            </w:r>
          </w:p>
          <w:p w:rsidR="00FC53E2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f.;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26 f.; 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32 f.; 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S.46 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 xml:space="preserve">Aufgabe 3; 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48 f.;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54 / Aufgabe 3; 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55 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 xml:space="preserve">Aufgabe 11; 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60 f.;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62 / Aufgabe 3; 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69 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Aufgabe 9;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71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4; 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79 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Aufgabe 6;</w:t>
            </w:r>
          </w:p>
          <w:p w:rsidR="00E06871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6138">
              <w:rPr>
                <w:rFonts w:ascii="Arial" w:hAnsi="Arial" w:cs="Arial"/>
                <w:sz w:val="16"/>
                <w:szCs w:val="16"/>
              </w:rPr>
              <w:t>99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 xml:space="preserve">Aufgabe 6, </w:t>
            </w:r>
          </w:p>
          <w:p w:rsidR="0008185B" w:rsidRDefault="0008185B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06871">
              <w:rPr>
                <w:rFonts w:ascii="Arial" w:hAnsi="Arial" w:cs="Arial"/>
                <w:sz w:val="16"/>
                <w:szCs w:val="16"/>
              </w:rPr>
              <w:t>10</w:t>
            </w:r>
            <w:r w:rsidR="0074613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Aufgabe 3;</w:t>
            </w:r>
          </w:p>
          <w:p w:rsidR="0008185B" w:rsidRDefault="00746138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118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08185B">
              <w:rPr>
                <w:rFonts w:ascii="Arial" w:hAnsi="Arial" w:cs="Arial"/>
                <w:sz w:val="16"/>
                <w:szCs w:val="16"/>
              </w:rPr>
              <w:t xml:space="preserve"> Aufgabe 2;</w:t>
            </w:r>
          </w:p>
          <w:p w:rsidR="00E06871" w:rsidRDefault="00746138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125</w:t>
            </w:r>
            <w:r w:rsidR="000818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08185B">
              <w:rPr>
                <w:rFonts w:ascii="Arial" w:hAnsi="Arial" w:cs="Arial"/>
                <w:sz w:val="16"/>
                <w:szCs w:val="16"/>
              </w:rPr>
              <w:t xml:space="preserve">Aufgabe 9, </w:t>
            </w:r>
          </w:p>
          <w:p w:rsidR="0008185B" w:rsidRDefault="00746138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136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08185B">
              <w:rPr>
                <w:rFonts w:ascii="Arial" w:hAnsi="Arial" w:cs="Arial"/>
                <w:sz w:val="16"/>
                <w:szCs w:val="16"/>
              </w:rPr>
              <w:t xml:space="preserve"> Aufgabe 3;</w:t>
            </w:r>
          </w:p>
          <w:p w:rsidR="00E06871" w:rsidRDefault="00746138" w:rsidP="000818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153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11</w:t>
            </w:r>
          </w:p>
          <w:p w:rsidR="00FC53E2" w:rsidRPr="00CF7ECB" w:rsidRDefault="00FC53E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F17CD6" w:rsidRDefault="00DE1532" w:rsidP="00FC53E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FC53E2" w:rsidRDefault="00FC53E2" w:rsidP="00FC53E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Geschichte und Geschehen Band 1: </w:t>
            </w:r>
          </w:p>
          <w:p w:rsidR="00FC53E2" w:rsidRDefault="0008185B" w:rsidP="000818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21 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 xml:space="preserve">Aufgabe 5; </w:t>
            </w:r>
          </w:p>
          <w:p w:rsidR="00E06871" w:rsidRDefault="0008185B" w:rsidP="000818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7; </w:t>
            </w:r>
          </w:p>
          <w:p w:rsidR="00FC53E2" w:rsidRDefault="0008185B" w:rsidP="000818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 f.;</w:t>
            </w:r>
          </w:p>
          <w:p w:rsidR="00E06871" w:rsidRDefault="0008185B" w:rsidP="000818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84 f.; </w:t>
            </w:r>
          </w:p>
          <w:p w:rsidR="0008185B" w:rsidRDefault="0008185B" w:rsidP="000818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123 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Aufgabe 9;</w:t>
            </w:r>
          </w:p>
          <w:p w:rsidR="0008185B" w:rsidRDefault="00746138" w:rsidP="000818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161</w:t>
            </w:r>
            <w:r w:rsidR="000818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08185B">
              <w:rPr>
                <w:rFonts w:ascii="Arial" w:hAnsi="Arial" w:cs="Arial"/>
                <w:sz w:val="16"/>
                <w:szCs w:val="16"/>
              </w:rPr>
              <w:t>Aufgabe 8</w:t>
            </w:r>
            <w:r>
              <w:rPr>
                <w:rFonts w:ascii="Arial" w:hAnsi="Arial" w:cs="Arial"/>
                <w:sz w:val="16"/>
                <w:szCs w:val="16"/>
              </w:rPr>
              <w:t>/9</w:t>
            </w:r>
            <w:r w:rsidR="0008185B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08185B" w:rsidRPr="00CF7ECB" w:rsidRDefault="00746138" w:rsidP="0008185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162</w:t>
            </w:r>
            <w:r w:rsidR="0008185B">
              <w:rPr>
                <w:rFonts w:ascii="Arial" w:hAnsi="Arial" w:cs="Arial"/>
                <w:sz w:val="16"/>
                <w:szCs w:val="16"/>
              </w:rPr>
              <w:t xml:space="preserve"> f.</w:t>
            </w:r>
          </w:p>
          <w:p w:rsidR="00FC53E2" w:rsidRPr="000D5CBD" w:rsidRDefault="00FC53E2" w:rsidP="0025250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B7CAA" w:rsidRPr="00C71368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C53E2" w:rsidRPr="000D5CBD" w:rsidRDefault="00FC53E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F17CD6" w:rsidRDefault="00DE1532" w:rsidP="00FC53E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FC53E2" w:rsidRDefault="00FC53E2" w:rsidP="00FC53E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Geschichte und Geschehen Band 1: </w:t>
            </w:r>
          </w:p>
          <w:p w:rsidR="00FC53E2" w:rsidRDefault="00FC53E2" w:rsidP="00A339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</w:t>
            </w:r>
            <w:r w:rsidR="0008185B">
              <w:rPr>
                <w:rFonts w:ascii="Arial" w:hAnsi="Arial" w:cs="Arial"/>
                <w:sz w:val="16"/>
                <w:szCs w:val="16"/>
              </w:rPr>
              <w:t>1</w:t>
            </w:r>
            <w:r w:rsidR="00A33941">
              <w:rPr>
                <w:rFonts w:ascii="Arial" w:hAnsi="Arial" w:cs="Arial"/>
                <w:sz w:val="16"/>
                <w:szCs w:val="16"/>
              </w:rPr>
              <w:t xml:space="preserve"> / Aufgabe 6;</w:t>
            </w:r>
          </w:p>
          <w:p w:rsidR="00A33941" w:rsidRDefault="00A33941" w:rsidP="00A3394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82/83</w:t>
            </w:r>
          </w:p>
          <w:p w:rsidR="00FC53E2" w:rsidRPr="00CF7ECB" w:rsidRDefault="00FC53E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25250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Geschichte und Geschehen Band 1: </w:t>
            </w:r>
          </w:p>
          <w:p w:rsidR="00CD4A8A" w:rsidRDefault="00CD4A8A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06871">
              <w:rPr>
                <w:rFonts w:ascii="Arial" w:hAnsi="Arial" w:cs="Arial"/>
                <w:sz w:val="16"/>
                <w:szCs w:val="16"/>
              </w:rPr>
              <w:t>36 / Aufgabe 6;</w:t>
            </w:r>
          </w:p>
          <w:p w:rsidR="00E06871" w:rsidRDefault="00E06871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</w:t>
            </w:r>
            <w:r w:rsidR="00746138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/ Aufgabe 4;</w:t>
            </w:r>
          </w:p>
          <w:p w:rsidR="00E06871" w:rsidRDefault="00746138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126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f.;</w:t>
            </w:r>
          </w:p>
          <w:p w:rsidR="00E06871" w:rsidRDefault="00746138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153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 Aufgabe 11;</w:t>
            </w:r>
          </w:p>
          <w:p w:rsidR="00E06871" w:rsidRDefault="00746138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156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 Aufgabe 6;</w:t>
            </w:r>
          </w:p>
          <w:p w:rsidR="00E06871" w:rsidRDefault="00746138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175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 Aufgabe 11;</w:t>
            </w:r>
          </w:p>
          <w:p w:rsidR="00CD4A8A" w:rsidRPr="00CF7ECB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E06871" w:rsidRDefault="00E06871" w:rsidP="00E0687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Geschichte und Geschehen Band 1: </w:t>
            </w:r>
          </w:p>
          <w:p w:rsidR="00E06871" w:rsidRDefault="00E06871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</w:t>
            </w:r>
            <w:r w:rsidR="0074613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f.;</w:t>
            </w:r>
          </w:p>
          <w:p w:rsidR="00746138" w:rsidRDefault="001C14F2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156 / Aufgabe 6;</w:t>
            </w:r>
          </w:p>
          <w:p w:rsidR="00E06871" w:rsidRDefault="001C14F2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161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 Aufgabe 9;</w:t>
            </w:r>
          </w:p>
          <w:p w:rsidR="00E06871" w:rsidRDefault="001C14F2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175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 Aufgabe 11</w:t>
            </w: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Pr="000D5CBD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Pr="00F17CD6" w:rsidRDefault="00CD4A8A" w:rsidP="00CD4A8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Geschichte und Geschehen Band 1: </w:t>
            </w:r>
          </w:p>
          <w:p w:rsidR="001C14F2" w:rsidRDefault="001C14F2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 f.;</w:t>
            </w:r>
          </w:p>
          <w:p w:rsidR="001C14F2" w:rsidRDefault="001C14F2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 f.;</w:t>
            </w:r>
          </w:p>
          <w:p w:rsidR="001C14F2" w:rsidRDefault="001C14F2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 f.;</w:t>
            </w:r>
          </w:p>
          <w:p w:rsidR="001C14F2" w:rsidRDefault="001C14F2" w:rsidP="001C14F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 / Aufgabe 5;</w:t>
            </w:r>
          </w:p>
          <w:p w:rsidR="001C14F2" w:rsidRDefault="001C14F2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 / Aufgabe 7;</w:t>
            </w:r>
          </w:p>
          <w:p w:rsidR="001C14F2" w:rsidRDefault="001C14F2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 f.;</w:t>
            </w:r>
          </w:p>
          <w:p w:rsidR="00CD4A8A" w:rsidRDefault="00CD4A8A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06871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 xml:space="preserve"> f.</w:t>
            </w:r>
            <w:r w:rsidR="00E0687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1C14F2" w:rsidRDefault="001C14F2" w:rsidP="001C14F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 / Aufgabe 4;</w:t>
            </w:r>
          </w:p>
          <w:p w:rsidR="00E06871" w:rsidRDefault="00E06871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48 f.;</w:t>
            </w:r>
          </w:p>
          <w:p w:rsidR="001C14F2" w:rsidRDefault="001C14F2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62 / Aufgabe 3;</w:t>
            </w:r>
          </w:p>
          <w:p w:rsidR="001C14F2" w:rsidRDefault="001C14F2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79 / Aufgabe 6;</w:t>
            </w:r>
          </w:p>
          <w:p w:rsidR="00CD4A8A" w:rsidRDefault="001C14F2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86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f.;</w:t>
            </w:r>
          </w:p>
          <w:p w:rsidR="002457F1" w:rsidRDefault="002457F1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118 / Aufgabe 2;</w:t>
            </w:r>
          </w:p>
          <w:p w:rsidR="002457F1" w:rsidRPr="00CF7ECB" w:rsidRDefault="002457F1" w:rsidP="00CD4A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136 / Aufgabe 3;</w:t>
            </w:r>
          </w:p>
          <w:p w:rsidR="00DE1532" w:rsidRDefault="001C14F2" w:rsidP="00D24C0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161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 Aufgabe 9;</w:t>
            </w: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E06871" w:rsidRDefault="00E06871" w:rsidP="00E0687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Geschichte und Geschehen Band 1: </w:t>
            </w:r>
          </w:p>
          <w:p w:rsidR="005B606B" w:rsidRDefault="005B606B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 f.;</w:t>
            </w:r>
          </w:p>
          <w:p w:rsidR="005B606B" w:rsidRDefault="005B606B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 f.;</w:t>
            </w:r>
          </w:p>
          <w:p w:rsidR="005B606B" w:rsidRDefault="005B606B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 f.;</w:t>
            </w:r>
          </w:p>
          <w:p w:rsidR="005B606B" w:rsidRDefault="005B606B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69 / Aufgabe 10;</w:t>
            </w:r>
          </w:p>
          <w:p w:rsidR="005B606B" w:rsidRDefault="005B606B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84 f.;</w:t>
            </w:r>
          </w:p>
          <w:p w:rsidR="005B606B" w:rsidRDefault="005B606B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131 / Aufgabe 11;</w:t>
            </w:r>
          </w:p>
          <w:p w:rsidR="005B606B" w:rsidRDefault="005B606B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147 / Aufgabe 4;</w:t>
            </w:r>
          </w:p>
          <w:p w:rsidR="00E06871" w:rsidRDefault="005B606B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161</w:t>
            </w:r>
            <w:r w:rsidR="00E06871">
              <w:rPr>
                <w:rFonts w:ascii="Arial" w:hAnsi="Arial" w:cs="Arial"/>
                <w:sz w:val="16"/>
                <w:szCs w:val="16"/>
              </w:rPr>
              <w:t xml:space="preserve"> / Aufgabe 9;</w:t>
            </w:r>
          </w:p>
          <w:p w:rsidR="005B606B" w:rsidRDefault="005B606B" w:rsidP="00E0687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183 / Aufgabe 7</w:t>
            </w:r>
          </w:p>
          <w:p w:rsidR="00DE1532" w:rsidRPr="00F17CD6" w:rsidRDefault="00DE1532" w:rsidP="0025250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5B606B" w:rsidRDefault="005B606B" w:rsidP="005B606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606B" w:rsidRDefault="005B606B" w:rsidP="005B606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Geschichte und Geschehen Band 1: </w:t>
            </w:r>
          </w:p>
          <w:p w:rsidR="00DE1532" w:rsidRDefault="005B606B" w:rsidP="005B606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606B">
              <w:rPr>
                <w:rFonts w:ascii="Arial" w:hAnsi="Arial" w:cs="Arial"/>
                <w:sz w:val="16"/>
                <w:szCs w:val="16"/>
              </w:rPr>
              <w:t>S. 26 f.;</w:t>
            </w:r>
          </w:p>
          <w:p w:rsidR="005B606B" w:rsidRDefault="005B606B" w:rsidP="005B606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 / Aufgabe 4;</w:t>
            </w:r>
          </w:p>
          <w:p w:rsidR="005B606B" w:rsidRDefault="005B606B" w:rsidP="005B606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79 / Aufgabe 11;</w:t>
            </w:r>
          </w:p>
          <w:p w:rsidR="005B606B" w:rsidRDefault="005B606B" w:rsidP="005B606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82 f.;</w:t>
            </w:r>
          </w:p>
          <w:p w:rsidR="005B606B" w:rsidRDefault="005B606B" w:rsidP="005B606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131 / Aufgabe 11;</w:t>
            </w:r>
          </w:p>
          <w:p w:rsidR="005B606B" w:rsidRPr="005B606B" w:rsidRDefault="005B606B" w:rsidP="005B606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133 / Aufgabe 7</w:t>
            </w:r>
          </w:p>
          <w:p w:rsidR="005B606B" w:rsidRPr="000D5CBD" w:rsidRDefault="005B606B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1D48E5" w:rsidRPr="00271163" w:rsidTr="001D48E5">
        <w:tc>
          <w:tcPr>
            <w:tcW w:w="654" w:type="pct"/>
            <w:vMerge w:val="restart"/>
            <w:shd w:val="clear" w:color="auto" w:fill="FAB72D"/>
          </w:tcPr>
          <w:p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D24C03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:rsidR="001D48E5" w:rsidRPr="001D48E5" w:rsidRDefault="001D48E5" w:rsidP="00D24C0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:rsidTr="001D48E5">
        <w:tc>
          <w:tcPr>
            <w:tcW w:w="654" w:type="pct"/>
            <w:shd w:val="clear" w:color="auto" w:fill="FDD58C"/>
          </w:tcPr>
          <w:p w:rsidR="00DE1532" w:rsidRPr="001D48E5" w:rsidRDefault="00DE1532" w:rsidP="00D24C03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:rsidR="00DE1532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CD4A8A" w:rsidRPr="000D5CBD" w:rsidRDefault="00CD4A8A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:rsidR="00DE1532" w:rsidRPr="00F17CD6" w:rsidRDefault="00DE1532" w:rsidP="00D24C0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:rsidR="00DE1532" w:rsidRPr="000D5CBD" w:rsidRDefault="00DE1532" w:rsidP="00D24C03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:rsidR="00DE1532" w:rsidRPr="000D5CBD" w:rsidRDefault="00DE1532" w:rsidP="00D24C03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88" w:rsidRDefault="000E5288" w:rsidP="002421C0">
      <w:pPr>
        <w:spacing w:after="0" w:line="240" w:lineRule="auto"/>
      </w:pPr>
      <w:r>
        <w:separator/>
      </w:r>
    </w:p>
  </w:endnote>
  <w:endnote w:type="continuationSeparator" w:id="0">
    <w:p w:rsidR="000E5288" w:rsidRDefault="000E5288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03" w:rsidRPr="004F7230" w:rsidRDefault="00D24C03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595F2B9F" wp14:editId="33195D50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D84C6" wp14:editId="5A7BA168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D24C03" w:rsidRPr="00DA2388" w:rsidRDefault="00D24C03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ED4DBC">
          <w:rPr>
            <w:rFonts w:ascii="Arial" w:hAnsi="Arial" w:cs="Arial"/>
            <w:noProof/>
            <w:sz w:val="14"/>
            <w:szCs w:val="14"/>
          </w:rPr>
          <w:t>6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03" w:rsidRPr="004F7230" w:rsidRDefault="00D24C03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6B8C29C2" wp14:editId="7B2AD642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6A99A3" wp14:editId="5594DF33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D24C03" w:rsidRPr="00BC613D" w:rsidRDefault="00D24C03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2019, www.klett.de | 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ED4DBC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88" w:rsidRDefault="000E5288" w:rsidP="002421C0">
      <w:pPr>
        <w:spacing w:after="0" w:line="240" w:lineRule="auto"/>
      </w:pPr>
      <w:r>
        <w:separator/>
      </w:r>
    </w:p>
  </w:footnote>
  <w:footnote w:type="continuationSeparator" w:id="0">
    <w:p w:rsidR="000E5288" w:rsidRDefault="000E5288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03" w:rsidRDefault="00D24C03" w:rsidP="00BE3FFB">
    <w:pPr>
      <w:pStyle w:val="Kopfzeile"/>
      <w:tabs>
        <w:tab w:val="left" w:pos="12474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0AEB8480" wp14:editId="0846E544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 NRW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  <w:t>Geschichte und Geschehen</w:t>
    </w:r>
  </w:p>
  <w:p w:rsidR="00D24C03" w:rsidRPr="003D439C" w:rsidRDefault="00D24C03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03" w:rsidRDefault="00D24C03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07"/>
    <w:rsid w:val="00022F7F"/>
    <w:rsid w:val="0003420C"/>
    <w:rsid w:val="00045E18"/>
    <w:rsid w:val="0004686F"/>
    <w:rsid w:val="000608B5"/>
    <w:rsid w:val="0008185B"/>
    <w:rsid w:val="000A7DF8"/>
    <w:rsid w:val="000B7CAA"/>
    <w:rsid w:val="000D5CBD"/>
    <w:rsid w:val="000E3CC1"/>
    <w:rsid w:val="000E5288"/>
    <w:rsid w:val="00101252"/>
    <w:rsid w:val="00101843"/>
    <w:rsid w:val="00105E67"/>
    <w:rsid w:val="001116FC"/>
    <w:rsid w:val="00122305"/>
    <w:rsid w:val="00191EF6"/>
    <w:rsid w:val="00193E07"/>
    <w:rsid w:val="001973AC"/>
    <w:rsid w:val="001C14F2"/>
    <w:rsid w:val="001C17D4"/>
    <w:rsid w:val="001C4CFE"/>
    <w:rsid w:val="001C62ED"/>
    <w:rsid w:val="001D22D5"/>
    <w:rsid w:val="001D48E5"/>
    <w:rsid w:val="001D5346"/>
    <w:rsid w:val="001E16D4"/>
    <w:rsid w:val="00220BCD"/>
    <w:rsid w:val="00235457"/>
    <w:rsid w:val="00236568"/>
    <w:rsid w:val="00240F64"/>
    <w:rsid w:val="002421C0"/>
    <w:rsid w:val="002457F1"/>
    <w:rsid w:val="0025250A"/>
    <w:rsid w:val="00255412"/>
    <w:rsid w:val="002753BD"/>
    <w:rsid w:val="0027790D"/>
    <w:rsid w:val="00284727"/>
    <w:rsid w:val="00287E2F"/>
    <w:rsid w:val="002A2EF9"/>
    <w:rsid w:val="002A469E"/>
    <w:rsid w:val="002A5A7C"/>
    <w:rsid w:val="002A5E49"/>
    <w:rsid w:val="002B4179"/>
    <w:rsid w:val="002C0330"/>
    <w:rsid w:val="002C07C3"/>
    <w:rsid w:val="002C2B47"/>
    <w:rsid w:val="0031574A"/>
    <w:rsid w:val="00317988"/>
    <w:rsid w:val="00331148"/>
    <w:rsid w:val="003477FF"/>
    <w:rsid w:val="0037308D"/>
    <w:rsid w:val="00380181"/>
    <w:rsid w:val="00380B39"/>
    <w:rsid w:val="00382AB2"/>
    <w:rsid w:val="00385A98"/>
    <w:rsid w:val="003B6B2B"/>
    <w:rsid w:val="003C37B1"/>
    <w:rsid w:val="003C421D"/>
    <w:rsid w:val="003D439C"/>
    <w:rsid w:val="003D4F09"/>
    <w:rsid w:val="003E470F"/>
    <w:rsid w:val="00401CBF"/>
    <w:rsid w:val="00433F83"/>
    <w:rsid w:val="00442592"/>
    <w:rsid w:val="0045420C"/>
    <w:rsid w:val="00455726"/>
    <w:rsid w:val="00476C64"/>
    <w:rsid w:val="004C13CC"/>
    <w:rsid w:val="004C7F2C"/>
    <w:rsid w:val="004D0FDE"/>
    <w:rsid w:val="004E4BF9"/>
    <w:rsid w:val="004F7230"/>
    <w:rsid w:val="00507005"/>
    <w:rsid w:val="005079D6"/>
    <w:rsid w:val="005115FA"/>
    <w:rsid w:val="00512EAB"/>
    <w:rsid w:val="00515C31"/>
    <w:rsid w:val="00532122"/>
    <w:rsid w:val="0053615B"/>
    <w:rsid w:val="005441D2"/>
    <w:rsid w:val="0055061C"/>
    <w:rsid w:val="00555873"/>
    <w:rsid w:val="005732C4"/>
    <w:rsid w:val="005A1199"/>
    <w:rsid w:val="005B4D9C"/>
    <w:rsid w:val="005B606B"/>
    <w:rsid w:val="005B73C1"/>
    <w:rsid w:val="005D3CF2"/>
    <w:rsid w:val="005D6247"/>
    <w:rsid w:val="005D673C"/>
    <w:rsid w:val="005E5FCD"/>
    <w:rsid w:val="00601124"/>
    <w:rsid w:val="00605202"/>
    <w:rsid w:val="00610FED"/>
    <w:rsid w:val="00613321"/>
    <w:rsid w:val="00656F8C"/>
    <w:rsid w:val="0067426A"/>
    <w:rsid w:val="00680B42"/>
    <w:rsid w:val="006A6EB0"/>
    <w:rsid w:val="006B16A0"/>
    <w:rsid w:val="006C37DD"/>
    <w:rsid w:val="006C5953"/>
    <w:rsid w:val="006E04A4"/>
    <w:rsid w:val="006E70AE"/>
    <w:rsid w:val="00717FEB"/>
    <w:rsid w:val="0073029A"/>
    <w:rsid w:val="00746138"/>
    <w:rsid w:val="007864FC"/>
    <w:rsid w:val="007A6631"/>
    <w:rsid w:val="007B550F"/>
    <w:rsid w:val="007C452F"/>
    <w:rsid w:val="007C6E2D"/>
    <w:rsid w:val="007D1F9F"/>
    <w:rsid w:val="007D2092"/>
    <w:rsid w:val="007E0339"/>
    <w:rsid w:val="007E62AF"/>
    <w:rsid w:val="00801E0A"/>
    <w:rsid w:val="00810136"/>
    <w:rsid w:val="00846C78"/>
    <w:rsid w:val="008913F6"/>
    <w:rsid w:val="008B3107"/>
    <w:rsid w:val="008C63D0"/>
    <w:rsid w:val="008D575B"/>
    <w:rsid w:val="008F311A"/>
    <w:rsid w:val="0091701C"/>
    <w:rsid w:val="0094463C"/>
    <w:rsid w:val="00992D42"/>
    <w:rsid w:val="00997E53"/>
    <w:rsid w:val="009B7E07"/>
    <w:rsid w:val="009F679A"/>
    <w:rsid w:val="00A06D95"/>
    <w:rsid w:val="00A33941"/>
    <w:rsid w:val="00A34C9D"/>
    <w:rsid w:val="00A37A54"/>
    <w:rsid w:val="00A40157"/>
    <w:rsid w:val="00A451FE"/>
    <w:rsid w:val="00A479DD"/>
    <w:rsid w:val="00A6112A"/>
    <w:rsid w:val="00A63A27"/>
    <w:rsid w:val="00A7639F"/>
    <w:rsid w:val="00A87E5E"/>
    <w:rsid w:val="00A92FFC"/>
    <w:rsid w:val="00A961CC"/>
    <w:rsid w:val="00AB160C"/>
    <w:rsid w:val="00AB2E87"/>
    <w:rsid w:val="00AB34BE"/>
    <w:rsid w:val="00AD3FA9"/>
    <w:rsid w:val="00AE6331"/>
    <w:rsid w:val="00B0191B"/>
    <w:rsid w:val="00B203DD"/>
    <w:rsid w:val="00B209C9"/>
    <w:rsid w:val="00B26806"/>
    <w:rsid w:val="00B4140E"/>
    <w:rsid w:val="00B43AE2"/>
    <w:rsid w:val="00B53ED4"/>
    <w:rsid w:val="00B753A4"/>
    <w:rsid w:val="00B7772A"/>
    <w:rsid w:val="00B87035"/>
    <w:rsid w:val="00BB0D3E"/>
    <w:rsid w:val="00BC613D"/>
    <w:rsid w:val="00BD2449"/>
    <w:rsid w:val="00BE3FFB"/>
    <w:rsid w:val="00C07151"/>
    <w:rsid w:val="00C52253"/>
    <w:rsid w:val="00C53775"/>
    <w:rsid w:val="00C55480"/>
    <w:rsid w:val="00C8169F"/>
    <w:rsid w:val="00CA239D"/>
    <w:rsid w:val="00CD2724"/>
    <w:rsid w:val="00CD446F"/>
    <w:rsid w:val="00CD4A8A"/>
    <w:rsid w:val="00CE7072"/>
    <w:rsid w:val="00CF00AE"/>
    <w:rsid w:val="00CF0F5B"/>
    <w:rsid w:val="00CF185A"/>
    <w:rsid w:val="00CF7ECB"/>
    <w:rsid w:val="00D020E3"/>
    <w:rsid w:val="00D16579"/>
    <w:rsid w:val="00D22443"/>
    <w:rsid w:val="00D24C03"/>
    <w:rsid w:val="00D2719B"/>
    <w:rsid w:val="00D620C3"/>
    <w:rsid w:val="00D63BC9"/>
    <w:rsid w:val="00D73656"/>
    <w:rsid w:val="00D832CC"/>
    <w:rsid w:val="00D94DE8"/>
    <w:rsid w:val="00DA0738"/>
    <w:rsid w:val="00DA2388"/>
    <w:rsid w:val="00DB08FD"/>
    <w:rsid w:val="00DB75FB"/>
    <w:rsid w:val="00DE0F66"/>
    <w:rsid w:val="00DE1532"/>
    <w:rsid w:val="00DE3391"/>
    <w:rsid w:val="00DF1BCD"/>
    <w:rsid w:val="00E06871"/>
    <w:rsid w:val="00E25B4B"/>
    <w:rsid w:val="00E3277E"/>
    <w:rsid w:val="00E330A8"/>
    <w:rsid w:val="00E34AE9"/>
    <w:rsid w:val="00E35D83"/>
    <w:rsid w:val="00E419A6"/>
    <w:rsid w:val="00E56D52"/>
    <w:rsid w:val="00ED121C"/>
    <w:rsid w:val="00ED3401"/>
    <w:rsid w:val="00ED4DBC"/>
    <w:rsid w:val="00EE3B46"/>
    <w:rsid w:val="00EF09A7"/>
    <w:rsid w:val="00EF6FFB"/>
    <w:rsid w:val="00F073F8"/>
    <w:rsid w:val="00F17CD6"/>
    <w:rsid w:val="00F210AE"/>
    <w:rsid w:val="00F22772"/>
    <w:rsid w:val="00F27C2B"/>
    <w:rsid w:val="00F36FE4"/>
    <w:rsid w:val="00F51850"/>
    <w:rsid w:val="00F53779"/>
    <w:rsid w:val="00F548CD"/>
    <w:rsid w:val="00F77765"/>
    <w:rsid w:val="00F913A9"/>
    <w:rsid w:val="00F92150"/>
    <w:rsid w:val="00F947CF"/>
    <w:rsid w:val="00FC1158"/>
    <w:rsid w:val="00FC22EA"/>
    <w:rsid w:val="00FC53E2"/>
    <w:rsid w:val="00FC6F31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CD\04_Musterdateien\CD__Templates\08_Stoffverteilung\Synopse\Abgleich_Medienkompetenzrahmen_NRW_Vorlage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55FE-9689-4C64-8FF2-BBE8A467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Abgleich_Medienkompetenzrahmen_NRW_Vorlage_.dotx</Template>
  <TotalTime>0</TotalTime>
  <Pages>1</Pages>
  <Words>859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Michaela</dc:creator>
  <cp:lastModifiedBy>Geisler, Frank</cp:lastModifiedBy>
  <cp:revision>6</cp:revision>
  <cp:lastPrinted>2019-08-12T10:21:00Z</cp:lastPrinted>
  <dcterms:created xsi:type="dcterms:W3CDTF">2019-08-01T14:57:00Z</dcterms:created>
  <dcterms:modified xsi:type="dcterms:W3CDTF">2019-08-12T10:22:00Z</dcterms:modified>
</cp:coreProperties>
</file>