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EA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4445</wp:posOffset>
            </wp:positionH>
            <wp:positionV relativeFrom="paragraph">
              <wp:posOffset>-15875</wp:posOffset>
            </wp:positionV>
            <wp:extent cx="923925" cy="923925"/>
            <wp:effectExtent l="0" t="0" r="9525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EA">
        <w:rPr>
          <w:b/>
        </w:rPr>
        <w:t>L</w:t>
      </w:r>
      <w:r w:rsidR="00384B62">
        <w:rPr>
          <w:b/>
        </w:rPr>
        <w:t>ambacher Schweizer</w:t>
      </w:r>
      <w:r w:rsidR="00877E10">
        <w:rPr>
          <w:b/>
        </w:rPr>
        <w:t xml:space="preserve"> (Ausgabe ab 2016)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FC22EA" w:rsidRDefault="00384B62" w:rsidP="00810136">
      <w:pPr>
        <w:pStyle w:val="stoffdeckblatttitel"/>
        <w:rPr>
          <w:b/>
        </w:rPr>
      </w:pPr>
      <w:r>
        <w:t>Mathematik</w:t>
      </w:r>
      <w:r w:rsidR="00FC22EA">
        <w:t xml:space="preserve"> | </w:t>
      </w:r>
      <w:r w:rsidR="000B3F25">
        <w:t>Gymnasium</w:t>
      </w:r>
      <w:r w:rsidR="00FC22EA">
        <w:t xml:space="preserve"> </w:t>
      </w:r>
    </w:p>
    <w:p w:rsidR="008913F6" w:rsidRDefault="00D4073B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522856E1" wp14:editId="7099E335">
            <wp:simplePos x="0" y="0"/>
            <wp:positionH relativeFrom="column">
              <wp:posOffset>3240604</wp:posOffset>
            </wp:positionH>
            <wp:positionV relativeFrom="paragraph">
              <wp:posOffset>214078</wp:posOffset>
            </wp:positionV>
            <wp:extent cx="1496712" cy="194373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712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0716D412" wp14:editId="11D276E8">
            <wp:simplePos x="0" y="0"/>
            <wp:positionH relativeFrom="column">
              <wp:posOffset>1464641</wp:posOffset>
            </wp:positionH>
            <wp:positionV relativeFrom="paragraph">
              <wp:posOffset>33020</wp:posOffset>
            </wp:positionV>
            <wp:extent cx="1802765" cy="223139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E10"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4103676D" wp14:editId="3AA394E5">
            <wp:simplePos x="0" y="0"/>
            <wp:positionH relativeFrom="column">
              <wp:posOffset>-192101</wp:posOffset>
            </wp:positionH>
            <wp:positionV relativeFrom="paragraph">
              <wp:posOffset>29210</wp:posOffset>
            </wp:positionV>
            <wp:extent cx="1802977" cy="2232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77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384B62" w:rsidRDefault="008C63D0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 w:rsidRPr="008C63D0">
        <w:rPr>
          <w:rFonts w:ascii="Arial" w:hAnsi="Arial" w:cs="Arial"/>
          <w:b/>
          <w:sz w:val="16"/>
          <w:szCs w:val="16"/>
        </w:rPr>
        <w:t>Schülerbuch 5</w:t>
      </w:r>
      <w:r>
        <w:rPr>
          <w:rFonts w:ascii="Arial" w:hAnsi="Arial" w:cs="Arial"/>
          <w:b/>
          <w:sz w:val="16"/>
          <w:szCs w:val="16"/>
        </w:rPr>
        <w:tab/>
      </w:r>
      <w:r w:rsidR="00D4073B">
        <w:rPr>
          <w:rFonts w:ascii="Arial" w:hAnsi="Arial" w:cs="Arial"/>
          <w:b/>
          <w:sz w:val="16"/>
          <w:szCs w:val="16"/>
        </w:rPr>
        <w:t xml:space="preserve">  </w:t>
      </w:r>
      <w:r w:rsidR="004B0764">
        <w:rPr>
          <w:rFonts w:ascii="Arial" w:hAnsi="Arial" w:cs="Arial"/>
          <w:b/>
          <w:sz w:val="16"/>
          <w:szCs w:val="16"/>
        </w:rPr>
        <w:t>Schülerbuch 6</w:t>
      </w:r>
      <w:r w:rsidR="004B0764">
        <w:rPr>
          <w:rFonts w:ascii="Arial" w:hAnsi="Arial" w:cs="Arial"/>
          <w:b/>
          <w:sz w:val="16"/>
          <w:szCs w:val="16"/>
        </w:rPr>
        <w:tab/>
      </w:r>
      <w:r w:rsidR="00877E10">
        <w:rPr>
          <w:rFonts w:ascii="Arial" w:hAnsi="Arial" w:cs="Arial"/>
          <w:b/>
          <w:sz w:val="16"/>
          <w:szCs w:val="16"/>
        </w:rPr>
        <w:t xml:space="preserve">  </w:t>
      </w:r>
      <w:r w:rsidR="00D4073B">
        <w:rPr>
          <w:rFonts w:ascii="Arial" w:hAnsi="Arial" w:cs="Arial"/>
          <w:b/>
          <w:sz w:val="16"/>
          <w:szCs w:val="16"/>
        </w:rPr>
        <w:t xml:space="preserve">   </w:t>
      </w:r>
      <w:r w:rsidR="004B0764">
        <w:rPr>
          <w:rFonts w:ascii="Arial" w:hAnsi="Arial" w:cs="Arial"/>
          <w:b/>
          <w:sz w:val="16"/>
          <w:szCs w:val="16"/>
        </w:rPr>
        <w:t>Schülerbuch 7</w:t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384B62">
        <w:rPr>
          <w:rFonts w:ascii="Arial" w:hAnsi="Arial" w:cs="Arial"/>
          <w:sz w:val="16"/>
          <w:szCs w:val="16"/>
        </w:rPr>
        <w:t xml:space="preserve">ISBN: </w:t>
      </w:r>
      <w:r w:rsidR="00786530" w:rsidRPr="00384B62">
        <w:rPr>
          <w:rFonts w:ascii="Arial" w:hAnsi="Arial" w:cs="Arial"/>
          <w:sz w:val="16"/>
          <w:szCs w:val="16"/>
        </w:rPr>
        <w:t>978-3-12-733451-7</w:t>
      </w:r>
      <w:r w:rsidRPr="00384B62">
        <w:rPr>
          <w:rFonts w:ascii="Arial" w:hAnsi="Arial" w:cs="Arial"/>
          <w:sz w:val="16"/>
          <w:szCs w:val="16"/>
        </w:rPr>
        <w:tab/>
      </w:r>
      <w:r w:rsidR="00D4073B">
        <w:rPr>
          <w:rFonts w:ascii="Arial" w:hAnsi="Arial" w:cs="Arial"/>
          <w:sz w:val="16"/>
          <w:szCs w:val="16"/>
        </w:rPr>
        <w:t xml:space="preserve">  </w:t>
      </w:r>
      <w:r w:rsidRPr="00384B62">
        <w:rPr>
          <w:rFonts w:ascii="Arial" w:hAnsi="Arial" w:cs="Arial"/>
          <w:sz w:val="16"/>
          <w:szCs w:val="16"/>
        </w:rPr>
        <w:t xml:space="preserve">ISBN: </w:t>
      </w:r>
      <w:r w:rsidR="00B831A9" w:rsidRPr="00384B62">
        <w:rPr>
          <w:rFonts w:ascii="Arial" w:hAnsi="Arial" w:cs="Arial"/>
          <w:sz w:val="16"/>
          <w:szCs w:val="16"/>
        </w:rPr>
        <w:t>978-3-12-733461-6</w:t>
      </w:r>
      <w:r w:rsidR="00EF09A7" w:rsidRPr="00384B62">
        <w:rPr>
          <w:rFonts w:ascii="Arial" w:hAnsi="Arial" w:cs="Arial"/>
          <w:sz w:val="16"/>
          <w:szCs w:val="16"/>
        </w:rPr>
        <w:tab/>
      </w:r>
      <w:r w:rsidR="00877E10">
        <w:rPr>
          <w:rFonts w:ascii="Arial" w:hAnsi="Arial" w:cs="Arial"/>
          <w:sz w:val="16"/>
          <w:szCs w:val="16"/>
        </w:rPr>
        <w:t xml:space="preserve"> </w:t>
      </w:r>
      <w:r w:rsidR="00D4073B">
        <w:rPr>
          <w:rFonts w:ascii="Arial" w:hAnsi="Arial" w:cs="Arial"/>
          <w:sz w:val="16"/>
          <w:szCs w:val="16"/>
        </w:rPr>
        <w:t xml:space="preserve">  </w:t>
      </w:r>
      <w:r w:rsidR="00877E10">
        <w:rPr>
          <w:rFonts w:ascii="Arial" w:hAnsi="Arial" w:cs="Arial"/>
          <w:sz w:val="16"/>
          <w:szCs w:val="16"/>
        </w:rPr>
        <w:t xml:space="preserve"> </w:t>
      </w:r>
      <w:r w:rsidR="00D4073B">
        <w:rPr>
          <w:rFonts w:ascii="Arial" w:hAnsi="Arial" w:cs="Arial"/>
          <w:sz w:val="16"/>
          <w:szCs w:val="16"/>
        </w:rPr>
        <w:t xml:space="preserve"> </w:t>
      </w:r>
      <w:r w:rsidR="00EF09A7" w:rsidRPr="00384B62">
        <w:rPr>
          <w:rFonts w:ascii="Arial" w:hAnsi="Arial" w:cs="Arial"/>
          <w:sz w:val="16"/>
          <w:szCs w:val="16"/>
        </w:rPr>
        <w:t xml:space="preserve">ISBN: </w:t>
      </w:r>
      <w:r w:rsidR="00B831A9" w:rsidRPr="00384B62">
        <w:rPr>
          <w:rFonts w:ascii="Arial" w:hAnsi="Arial" w:cs="Arial"/>
          <w:sz w:val="16"/>
          <w:szCs w:val="16"/>
        </w:rPr>
        <w:t>978-3-12-733471-5</w:t>
      </w:r>
      <w:r w:rsidR="004B0764">
        <w:rPr>
          <w:rFonts w:ascii="Arial" w:hAnsi="Arial" w:cs="Arial"/>
          <w:sz w:val="16"/>
          <w:szCs w:val="16"/>
        </w:rPr>
        <w:t xml:space="preserve"> </w:t>
      </w:r>
      <w:r w:rsidR="004B0764"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E65370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753A4" w:rsidRPr="00B753A4" w:rsidRDefault="006C37DD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F516ED"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="00B753A4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753A4" w:rsidRPr="000D5CBD" w:rsidRDefault="00B753A4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620C3" w:rsidRDefault="00F516ED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</w:t>
            </w:r>
            <w:r w:rsidR="00947BD6">
              <w:rPr>
                <w:rFonts w:ascii="Arial" w:hAnsi="Arial" w:cs="Arial"/>
                <w:b/>
                <w:sz w:val="16"/>
                <w:szCs w:val="16"/>
              </w:rPr>
              <w:t xml:space="preserve"> 7 SB</w:t>
            </w:r>
            <w:r w:rsidR="00D620C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620C3" w:rsidRDefault="00D620C3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516ED">
              <w:rPr>
                <w:rFonts w:ascii="Arial" w:hAnsi="Arial" w:cs="Arial"/>
                <w:sz w:val="16"/>
                <w:szCs w:val="16"/>
              </w:rPr>
              <w:t>64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</w:t>
            </w:r>
            <w:r w:rsidR="00F516ED">
              <w:rPr>
                <w:rFonts w:ascii="Arial" w:hAnsi="Arial" w:cs="Arial"/>
                <w:sz w:val="16"/>
                <w:szCs w:val="16"/>
              </w:rPr>
              <w:t xml:space="preserve"> 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516ED" w:rsidRPr="00CF7ECB" w:rsidRDefault="00F516E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E6537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E65370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E65370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13321" w:rsidRPr="00B753A4" w:rsidRDefault="00613321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207F4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613321" w:rsidRPr="000D5CBD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E207F4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</w:t>
            </w:r>
            <w:r w:rsidR="00947BD6">
              <w:rPr>
                <w:rFonts w:ascii="Arial" w:hAnsi="Arial" w:cs="Arial"/>
                <w:b/>
                <w:sz w:val="16"/>
                <w:szCs w:val="16"/>
              </w:rPr>
              <w:t xml:space="preserve"> 5 SB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E207F4">
              <w:rPr>
                <w:rFonts w:ascii="Arial" w:hAnsi="Arial" w:cs="Arial"/>
                <w:sz w:val="16"/>
                <w:szCs w:val="16"/>
              </w:rPr>
              <w:t xml:space="preserve"> 37</w:t>
            </w:r>
            <w:r w:rsidR="00F84A2E">
              <w:rPr>
                <w:rFonts w:ascii="Arial" w:hAnsi="Arial" w:cs="Arial"/>
                <w:sz w:val="16"/>
                <w:szCs w:val="16"/>
              </w:rPr>
              <w:t xml:space="preserve">; S. 74; S. 129 </w:t>
            </w:r>
            <w:r w:rsidR="00EB7B54" w:rsidRPr="008F457B">
              <w:rPr>
                <w:rFonts w:ascii="Arial" w:hAnsi="Arial" w:cs="Arial"/>
                <w:sz w:val="16"/>
                <w:szCs w:val="16"/>
              </w:rPr>
              <w:t>(Nutzung von digitalen Codes für Internet-Materialien)</w:t>
            </w:r>
          </w:p>
          <w:p w:rsidR="00613321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Pr="00B753A4" w:rsidRDefault="00613321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F84A2E"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F84A2E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</w:t>
            </w:r>
            <w:r w:rsidR="00947BD6">
              <w:rPr>
                <w:rFonts w:ascii="Arial" w:hAnsi="Arial" w:cs="Arial"/>
                <w:b/>
                <w:sz w:val="16"/>
                <w:szCs w:val="16"/>
              </w:rPr>
              <w:t xml:space="preserve"> 6 SB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84A2E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F84A2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; S. </w:t>
            </w:r>
            <w:r w:rsidR="00F84A2E">
              <w:rPr>
                <w:rFonts w:ascii="Arial" w:hAnsi="Arial" w:cs="Arial"/>
                <w:sz w:val="16"/>
                <w:szCs w:val="16"/>
              </w:rPr>
              <w:t>91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</w:t>
            </w:r>
            <w:r w:rsidR="008F457B">
              <w:rPr>
                <w:rFonts w:ascii="Arial" w:hAnsi="Arial" w:cs="Arial"/>
                <w:sz w:val="16"/>
                <w:szCs w:val="16"/>
              </w:rPr>
              <w:t xml:space="preserve"> 7; S. 131 / Aufgabe </w:t>
            </w:r>
            <w:r w:rsidR="00F84A2E">
              <w:rPr>
                <w:rFonts w:ascii="Arial" w:hAnsi="Arial" w:cs="Arial"/>
                <w:sz w:val="16"/>
                <w:szCs w:val="16"/>
              </w:rPr>
              <w:t>5</w:t>
            </w:r>
            <w:r w:rsidR="00EB7B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B54" w:rsidRPr="008F457B">
              <w:rPr>
                <w:rFonts w:ascii="Arial" w:hAnsi="Arial" w:cs="Arial"/>
                <w:sz w:val="16"/>
                <w:szCs w:val="16"/>
              </w:rPr>
              <w:t>(digitale Werkzeuge kennen, sinnvoll auswählen und einsetzen)</w:t>
            </w:r>
          </w:p>
          <w:p w:rsidR="00EB7B54" w:rsidRDefault="00F516E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151-153; S.156; </w:t>
            </w:r>
            <w:r w:rsidRPr="008F457B">
              <w:rPr>
                <w:rFonts w:ascii="Arial" w:hAnsi="Arial" w:cs="Arial"/>
                <w:sz w:val="16"/>
                <w:szCs w:val="16"/>
              </w:rPr>
              <w:t>(Zusammenfassung von Werkzeugen für Statistik)</w:t>
            </w:r>
          </w:p>
          <w:p w:rsidR="00F516ED" w:rsidRDefault="00F516E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60; S. 87; S. 161 </w:t>
            </w:r>
            <w:r w:rsidRPr="008F457B">
              <w:rPr>
                <w:rFonts w:ascii="Arial" w:hAnsi="Arial" w:cs="Arial"/>
                <w:sz w:val="16"/>
                <w:szCs w:val="16"/>
              </w:rPr>
              <w:t>(Nutzung von digitalen Codes für Internet-Materialien)</w:t>
            </w:r>
          </w:p>
          <w:p w:rsidR="00613321" w:rsidRPr="00CF7ECB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F516ED" w:rsidRPr="00B753A4" w:rsidRDefault="00F516ED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516ED" w:rsidRPr="000D5CBD" w:rsidRDefault="00F516E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F516ED" w:rsidRDefault="00F516ED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</w:t>
            </w:r>
            <w:r w:rsidR="00947BD6">
              <w:rPr>
                <w:rFonts w:ascii="Arial" w:hAnsi="Arial" w:cs="Arial"/>
                <w:b/>
                <w:sz w:val="16"/>
                <w:szCs w:val="16"/>
              </w:rPr>
              <w:t xml:space="preserve"> 7 SB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E65370" w:rsidRDefault="00F516E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7; S 102-104; S. 206 </w:t>
            </w:r>
            <w:r w:rsidRPr="00E65370">
              <w:rPr>
                <w:rFonts w:ascii="Arial" w:hAnsi="Arial" w:cs="Arial"/>
                <w:sz w:val="16"/>
                <w:szCs w:val="16"/>
              </w:rPr>
              <w:t>(Nutzung von digitalen Codes für Internet-Materialien)</w:t>
            </w:r>
          </w:p>
          <w:p w:rsidR="00E65370" w:rsidRDefault="00E65370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S.81; S 87; S. 103-105 (</w:t>
            </w:r>
            <w:r w:rsidRPr="00E65370">
              <w:rPr>
                <w:rFonts w:ascii="Arial" w:hAnsi="Arial" w:cs="Arial"/>
                <w:sz w:val="16"/>
                <w:szCs w:val="16"/>
              </w:rPr>
              <w:t>Zusammenfassung von Werkzeugen für Statistik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0D5CBD" w:rsidRPr="00E65370" w:rsidRDefault="00F516ED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516ED">
              <w:rPr>
                <w:rFonts w:ascii="Arial" w:hAnsi="Arial" w:cs="Arial"/>
                <w:sz w:val="16"/>
                <w:szCs w:val="16"/>
              </w:rPr>
              <w:t xml:space="preserve">S. 36 / Aufgabe 19; </w:t>
            </w:r>
            <w:r>
              <w:rPr>
                <w:rFonts w:ascii="Arial" w:hAnsi="Arial" w:cs="Arial"/>
                <w:sz w:val="16"/>
                <w:szCs w:val="16"/>
              </w:rPr>
              <w:t>S. 64 / Aufgabe 13; S</w:t>
            </w:r>
            <w:r w:rsidR="004A1C2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65 / Aufgabe 14; S. </w:t>
            </w:r>
            <w:r w:rsidR="004A1C23">
              <w:rPr>
                <w:rFonts w:ascii="Arial" w:hAnsi="Arial" w:cs="Arial"/>
                <w:sz w:val="16"/>
                <w:szCs w:val="16"/>
              </w:rPr>
              <w:t xml:space="preserve">69 / Aufgabe 13 </w:t>
            </w:r>
            <w:r w:rsidR="004A1C23" w:rsidRPr="00E65370">
              <w:rPr>
                <w:rFonts w:ascii="Arial" w:hAnsi="Arial" w:cs="Arial"/>
                <w:sz w:val="16"/>
                <w:szCs w:val="16"/>
              </w:rPr>
              <w:t>(dynamische Geometriesoftware)</w:t>
            </w:r>
          </w:p>
          <w:p w:rsidR="006F2623" w:rsidRDefault="006F2623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S.52; S. 54;S. 119 / Aufgabe 13 </w:t>
            </w:r>
            <w:r w:rsidRPr="00E65370">
              <w:rPr>
                <w:rFonts w:ascii="Arial" w:hAnsi="Arial" w:cs="Arial"/>
                <w:sz w:val="16"/>
                <w:szCs w:val="16"/>
              </w:rPr>
              <w:t>(Taschenrechner</w:t>
            </w:r>
            <w:r w:rsidR="000C29A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E5DD5" w:rsidRDefault="000E5DD5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9407A" w:rsidRPr="004A1C23" w:rsidRDefault="00D9407A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E65370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613321" w:rsidRPr="00B753A4" w:rsidRDefault="00613321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F2623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6F2623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</w:t>
            </w:r>
            <w:r w:rsidR="00947BD6">
              <w:rPr>
                <w:rFonts w:ascii="Arial" w:hAnsi="Arial" w:cs="Arial"/>
                <w:b/>
                <w:sz w:val="16"/>
                <w:szCs w:val="16"/>
              </w:rPr>
              <w:t xml:space="preserve"> 5 SB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6F262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; S. </w:t>
            </w:r>
            <w:r w:rsidR="003A3E3F">
              <w:rPr>
                <w:rFonts w:ascii="Arial" w:hAnsi="Arial" w:cs="Arial"/>
                <w:sz w:val="16"/>
                <w:szCs w:val="16"/>
              </w:rPr>
              <w:t>8-11</w:t>
            </w:r>
            <w:r w:rsidR="006F26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3321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Pr="00B753A4" w:rsidRDefault="00613321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</w:t>
            </w:r>
            <w:r w:rsidR="006F26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947BD6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 6 SB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F2623">
              <w:rPr>
                <w:rFonts w:ascii="Arial" w:hAnsi="Arial" w:cs="Arial"/>
                <w:sz w:val="16"/>
                <w:szCs w:val="16"/>
              </w:rPr>
              <w:t>151-153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2623" w:rsidRPr="00CF7ECB" w:rsidRDefault="006F2623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F2623" w:rsidRPr="00B753A4" w:rsidRDefault="006F2623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F2623" w:rsidRPr="000D5CBD" w:rsidRDefault="006F2623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D5CBD" w:rsidRDefault="006F2623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</w:t>
            </w:r>
            <w:r w:rsidR="00947BD6">
              <w:rPr>
                <w:rFonts w:ascii="Arial" w:hAnsi="Arial" w:cs="Arial"/>
                <w:b/>
                <w:sz w:val="16"/>
                <w:szCs w:val="16"/>
              </w:rPr>
              <w:t xml:space="preserve"> 7SB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F2623" w:rsidRPr="00947BD6" w:rsidRDefault="00947BD6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47BD6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86-87</w:t>
            </w: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384B62" w:rsidRDefault="000D5CBD" w:rsidP="00E65370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13321" w:rsidRPr="00384B62" w:rsidRDefault="00613321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84B6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84B62" w:rsidRPr="00384B62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384B6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384B62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13321" w:rsidRPr="00384B62" w:rsidRDefault="00384B62" w:rsidP="00E653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384B62">
              <w:rPr>
                <w:rFonts w:ascii="Arial" w:hAnsi="Arial" w:cs="Arial"/>
                <w:b/>
                <w:sz w:val="16"/>
                <w:szCs w:val="16"/>
              </w:rPr>
              <w:t>Lambacher Schweizer 5 SB:</w:t>
            </w:r>
            <w:r w:rsidR="00613321" w:rsidRPr="00384B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13321" w:rsidRPr="00384B62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84B62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384B62" w:rsidRPr="00384B62">
              <w:rPr>
                <w:rFonts w:ascii="Arial" w:hAnsi="Arial" w:cs="Arial"/>
                <w:sz w:val="16"/>
                <w:szCs w:val="16"/>
              </w:rPr>
              <w:t>46</w:t>
            </w:r>
            <w:r w:rsidR="00384B62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384B62" w:rsidRPr="00384B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2104">
              <w:rPr>
                <w:rFonts w:ascii="Arial" w:hAnsi="Arial" w:cs="Arial"/>
                <w:sz w:val="16"/>
                <w:szCs w:val="16"/>
              </w:rPr>
              <w:t>„Verrückte“ Gesichter</w:t>
            </w:r>
          </w:p>
          <w:p w:rsidR="00613321" w:rsidRPr="00384B62" w:rsidRDefault="00613321" w:rsidP="00E653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D5CBD" w:rsidRPr="00384B62" w:rsidRDefault="000D5CBD" w:rsidP="00384B6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E6537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:rsidTr="00843C20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843C20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843C20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947BD6"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947BD6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 6 SB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32 / Aufgabe 18; 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947BD6">
              <w:rPr>
                <w:rFonts w:ascii="Arial" w:hAnsi="Arial" w:cs="Arial"/>
                <w:sz w:val="16"/>
                <w:szCs w:val="16"/>
              </w:rPr>
              <w:t>91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947BD6">
              <w:rPr>
                <w:rFonts w:ascii="Arial" w:hAnsi="Arial" w:cs="Arial"/>
                <w:sz w:val="16"/>
                <w:szCs w:val="16"/>
              </w:rPr>
              <w:t>7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532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900D32"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 7 SB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2F6ACE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73 / </w:t>
            </w:r>
            <w:r w:rsidRPr="00384B62">
              <w:rPr>
                <w:rFonts w:ascii="Arial" w:hAnsi="Arial" w:cs="Arial"/>
                <w:sz w:val="16"/>
                <w:szCs w:val="16"/>
              </w:rPr>
              <w:t>Aufgabe</w:t>
            </w:r>
            <w:r w:rsidR="00384B62">
              <w:rPr>
                <w:rFonts w:ascii="Arial" w:hAnsi="Arial" w:cs="Arial"/>
                <w:sz w:val="16"/>
                <w:szCs w:val="16"/>
              </w:rPr>
              <w:t xml:space="preserve"> 23</w:t>
            </w:r>
            <w:r>
              <w:rPr>
                <w:rFonts w:ascii="Arial" w:hAnsi="Arial" w:cs="Arial"/>
                <w:sz w:val="16"/>
                <w:szCs w:val="16"/>
              </w:rPr>
              <w:t xml:space="preserve">; S. 87; 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194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:rsidR="00DE1532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Aufgabe </w:t>
            </w:r>
            <w:r w:rsidR="003A3E3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0D32" w:rsidRPr="00CF7ECB" w:rsidRDefault="00900D32" w:rsidP="00EB7B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EB7B5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EB7B5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EB7B5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900D32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her Schweizer 5 SB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900D32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00D32">
              <w:rPr>
                <w:rFonts w:ascii="Arial" w:hAnsi="Arial" w:cs="Arial"/>
                <w:sz w:val="16"/>
                <w:szCs w:val="16"/>
              </w:rPr>
              <w:t>S.9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900D32">
              <w:rPr>
                <w:rFonts w:ascii="Arial" w:hAnsi="Arial" w:cs="Arial"/>
                <w:sz w:val="16"/>
                <w:szCs w:val="16"/>
              </w:rPr>
              <w:t xml:space="preserve"> Beispiel 2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900D32">
              <w:rPr>
                <w:rFonts w:ascii="Arial" w:hAnsi="Arial" w:cs="Arial"/>
                <w:sz w:val="16"/>
                <w:szCs w:val="16"/>
              </w:rPr>
              <w:t>S.10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900D32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 xml:space="preserve">ufgabe </w:t>
            </w:r>
            <w:r w:rsidRPr="00900D3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900D32">
              <w:rPr>
                <w:rFonts w:ascii="Arial" w:hAnsi="Arial" w:cs="Arial"/>
                <w:sz w:val="16"/>
                <w:szCs w:val="16"/>
              </w:rPr>
              <w:t xml:space="preserve">S.223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900D3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ufgabe </w:t>
            </w:r>
            <w:r w:rsidRPr="00900D32">
              <w:rPr>
                <w:rFonts w:ascii="Arial" w:hAnsi="Arial" w:cs="Arial"/>
                <w:sz w:val="16"/>
                <w:szCs w:val="16"/>
              </w:rPr>
              <w:t>13, A</w:t>
            </w:r>
            <w:r>
              <w:rPr>
                <w:rFonts w:ascii="Arial" w:hAnsi="Arial" w:cs="Arial"/>
                <w:sz w:val="16"/>
                <w:szCs w:val="16"/>
              </w:rPr>
              <w:t>ufgabe S. 116; S. 37</w:t>
            </w:r>
            <w:r w:rsidR="003034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532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Pr="00B753A4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900D32" w:rsidRPr="000D5CBD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DE1532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3034E4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3034E4">
              <w:rPr>
                <w:rFonts w:ascii="Arial" w:hAnsi="Arial" w:cs="Arial"/>
                <w:sz w:val="16"/>
                <w:szCs w:val="16"/>
              </w:rPr>
              <w:t xml:space="preserve">S. 90; 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3034E4">
              <w:rPr>
                <w:rFonts w:ascii="Arial" w:hAnsi="Arial" w:cs="Arial"/>
                <w:sz w:val="16"/>
                <w:szCs w:val="16"/>
              </w:rPr>
              <w:t xml:space="preserve">91 / Aufgabe 7 </w:t>
            </w:r>
          </w:p>
          <w:p w:rsidR="003034E4" w:rsidRDefault="003034E4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10; S. 156; Kapitel V „Daten“ </w:t>
            </w:r>
            <w:r w:rsidRPr="006B3CE7">
              <w:rPr>
                <w:rFonts w:ascii="Arial" w:hAnsi="Arial" w:cs="Arial"/>
                <w:sz w:val="16"/>
                <w:szCs w:val="16"/>
              </w:rPr>
              <w:t>(Aufbereitung und Strukturierung von Daten)</w:t>
            </w:r>
          </w:p>
          <w:p w:rsidR="00DE1532" w:rsidRPr="00CF7ECB" w:rsidRDefault="00DE15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Pr="00B753A4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900D32" w:rsidRPr="000D5CBD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6B3CE7" w:rsidRDefault="006B3CE7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1532" w:rsidRDefault="006B3CE7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CE7">
              <w:rPr>
                <w:rFonts w:ascii="Arial" w:hAnsi="Arial" w:cs="Arial"/>
                <w:sz w:val="16"/>
                <w:szCs w:val="16"/>
              </w:rPr>
              <w:t>S. 64</w:t>
            </w:r>
            <w:r w:rsidR="00F6369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F63694" w:rsidRPr="00F13B82">
              <w:rPr>
                <w:rFonts w:ascii="Arial" w:hAnsi="Arial" w:cs="Arial"/>
                <w:sz w:val="16"/>
                <w:szCs w:val="16"/>
              </w:rPr>
              <w:t>Aufgabe</w:t>
            </w:r>
            <w:r w:rsidR="00F13B82">
              <w:rPr>
                <w:rFonts w:ascii="Arial" w:hAnsi="Arial" w:cs="Arial"/>
                <w:sz w:val="16"/>
                <w:szCs w:val="16"/>
              </w:rPr>
              <w:t xml:space="preserve"> 11;</w:t>
            </w:r>
            <w:r>
              <w:rPr>
                <w:rFonts w:ascii="Arial" w:hAnsi="Arial" w:cs="Arial"/>
                <w:sz w:val="16"/>
                <w:szCs w:val="16"/>
              </w:rPr>
              <w:t xml:space="preserve"> S. 103-105 </w:t>
            </w:r>
          </w:p>
          <w:p w:rsidR="00DE1532" w:rsidRPr="00F17CD6" w:rsidRDefault="00DE1532" w:rsidP="00EB7B5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900D32" w:rsidRPr="00B753A4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900D32" w:rsidRPr="000D5CBD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900D32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57BB9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657BB9">
              <w:rPr>
                <w:rFonts w:ascii="Arial" w:hAnsi="Arial" w:cs="Arial"/>
                <w:sz w:val="16"/>
                <w:szCs w:val="16"/>
              </w:rPr>
              <w:t>„Verrückte“ Gesichter (</w:t>
            </w:r>
            <w:r w:rsidR="00657BB9" w:rsidRPr="00F63694">
              <w:rPr>
                <w:rFonts w:ascii="Arial" w:hAnsi="Arial" w:cs="Arial"/>
                <w:sz w:val="16"/>
                <w:szCs w:val="16"/>
              </w:rPr>
              <w:t xml:space="preserve">insb. aktueller Bezug für Jugendliche, Realismus in </w:t>
            </w:r>
            <w:proofErr w:type="spellStart"/>
            <w:r w:rsidR="00657BB9" w:rsidRPr="00F63694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="00657BB9" w:rsidRPr="00F63694">
              <w:rPr>
                <w:rFonts w:ascii="Arial" w:hAnsi="Arial" w:cs="Arial"/>
                <w:sz w:val="16"/>
                <w:szCs w:val="16"/>
              </w:rPr>
              <w:t xml:space="preserve"> Media Portalen bezüglich Bildbearbeitung</w:t>
            </w:r>
            <w:r w:rsidR="003A3E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7BB9" w:rsidRPr="00F63694">
              <w:rPr>
                <w:rFonts w:ascii="Arial" w:hAnsi="Arial" w:cs="Arial"/>
                <w:sz w:val="16"/>
                <w:szCs w:val="16"/>
              </w:rPr>
              <w:t>/</w:t>
            </w:r>
            <w:r w:rsidR="003A3E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7BB9" w:rsidRPr="00F63694">
              <w:rPr>
                <w:rFonts w:ascii="Arial" w:hAnsi="Arial" w:cs="Arial"/>
                <w:sz w:val="16"/>
                <w:szCs w:val="16"/>
              </w:rPr>
              <w:t>Photoshop und resultierende Glaubwürdigkeit</w:t>
            </w:r>
            <w:r w:rsidR="00657BB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Pr="00B753A4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900D32" w:rsidRPr="000D5CBD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900D32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57BB9">
              <w:rPr>
                <w:rFonts w:ascii="Arial" w:hAnsi="Arial" w:cs="Arial"/>
                <w:sz w:val="16"/>
                <w:szCs w:val="16"/>
              </w:rPr>
              <w:t>156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3694">
              <w:rPr>
                <w:rFonts w:ascii="Arial" w:hAnsi="Arial" w:cs="Arial"/>
                <w:sz w:val="16"/>
                <w:szCs w:val="16"/>
              </w:rPr>
              <w:t>(</w:t>
            </w:r>
            <w:r w:rsidR="00F63694" w:rsidRPr="00F63694">
              <w:rPr>
                <w:rFonts w:ascii="Arial" w:hAnsi="Arial" w:cs="Arial"/>
                <w:sz w:val="16"/>
                <w:szCs w:val="16"/>
              </w:rPr>
              <w:t>Umgang mit Daten und kritische Auseinandersetzung mit Darstellung</w:t>
            </w:r>
            <w:r w:rsidR="00F6369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00D32" w:rsidRPr="00CF7ECB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Pr="00B753A4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900D32" w:rsidRPr="000D5CBD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DE1532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73 / </w:t>
            </w:r>
            <w:r w:rsidRPr="00F13B82">
              <w:rPr>
                <w:rFonts w:ascii="Arial" w:hAnsi="Arial" w:cs="Arial"/>
                <w:sz w:val="16"/>
                <w:szCs w:val="16"/>
              </w:rPr>
              <w:t>Aufgabe</w:t>
            </w:r>
            <w:r w:rsidR="00F13B82" w:rsidRPr="00F13B82">
              <w:rPr>
                <w:rFonts w:ascii="Arial" w:hAnsi="Arial" w:cs="Arial"/>
                <w:sz w:val="16"/>
                <w:szCs w:val="16"/>
              </w:rPr>
              <w:t xml:space="preserve"> 23</w:t>
            </w:r>
            <w:r w:rsidRPr="00F13B82">
              <w:rPr>
                <w:rFonts w:ascii="Arial" w:hAnsi="Arial" w:cs="Arial"/>
                <w:sz w:val="16"/>
                <w:szCs w:val="16"/>
              </w:rPr>
              <w:t>; S. 100 / Aufgabe</w:t>
            </w:r>
            <w:r w:rsidR="00F13B82">
              <w:rPr>
                <w:rFonts w:ascii="Arial" w:hAnsi="Arial" w:cs="Arial"/>
                <w:sz w:val="16"/>
                <w:szCs w:val="16"/>
              </w:rPr>
              <w:t xml:space="preserve"> 15</w:t>
            </w:r>
            <w:r w:rsidR="00F6369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63694" w:rsidRPr="00F63694">
              <w:rPr>
                <w:rFonts w:ascii="Arial" w:hAnsi="Arial" w:cs="Arial"/>
                <w:sz w:val="16"/>
                <w:szCs w:val="16"/>
              </w:rPr>
              <w:t>Strategien und Absichten hinter Darstellungen erkennen</w:t>
            </w:r>
            <w:r w:rsidR="00F6369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E1532" w:rsidRDefault="00DE1532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E5DD5" w:rsidRPr="000D5CBD" w:rsidRDefault="000E5DD5" w:rsidP="00EB7B5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EB7B5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00D32" w:rsidRPr="00B753A4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900D32" w:rsidRPr="000D5CBD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AB5233" w:rsidRDefault="00900D32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57BB9">
              <w:rPr>
                <w:rFonts w:ascii="Arial" w:hAnsi="Arial" w:cs="Arial"/>
                <w:sz w:val="16"/>
                <w:szCs w:val="16"/>
              </w:rPr>
              <w:t>116</w:t>
            </w:r>
            <w:r>
              <w:rPr>
                <w:rFonts w:ascii="Arial" w:hAnsi="Arial" w:cs="Arial"/>
                <w:sz w:val="16"/>
                <w:szCs w:val="16"/>
              </w:rPr>
              <w:t xml:space="preserve">; S. </w:t>
            </w:r>
            <w:r w:rsidR="00AB5233">
              <w:rPr>
                <w:rFonts w:ascii="Arial" w:hAnsi="Arial" w:cs="Arial"/>
                <w:sz w:val="16"/>
                <w:szCs w:val="16"/>
              </w:rPr>
              <w:t>223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B5233" w:rsidRDefault="00AB5233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46 / „Verrückte“ Gesichter </w:t>
            </w:r>
            <w:r w:rsidRPr="00F63694">
              <w:rPr>
                <w:rFonts w:ascii="Arial" w:hAnsi="Arial" w:cs="Arial"/>
                <w:sz w:val="16"/>
                <w:szCs w:val="16"/>
              </w:rPr>
              <w:t>(gefährdende Medieninhalte erkennen, Normen und Werte einschätzen)</w:t>
            </w:r>
          </w:p>
          <w:p w:rsidR="00AB5233" w:rsidRDefault="00AB5233" w:rsidP="00900D3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00D32" w:rsidRDefault="00900D32" w:rsidP="00900D3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EB7B5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657BB9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657BB9" w:rsidRPr="000B7CAA" w:rsidRDefault="00657BB9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81E0A">
              <w:rPr>
                <w:rFonts w:ascii="Arial" w:hAnsi="Arial" w:cs="Arial"/>
                <w:sz w:val="16"/>
                <w:szCs w:val="16"/>
              </w:rPr>
              <w:t>190-191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7BB9" w:rsidRPr="000D5CBD" w:rsidRDefault="00657BB9" w:rsidP="00F81E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657BB9" w:rsidRPr="000D5CBD" w:rsidRDefault="00657BB9" w:rsidP="001721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81E0A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F81E0A">
              <w:rPr>
                <w:rFonts w:ascii="Arial" w:hAnsi="Arial" w:cs="Arial"/>
                <w:sz w:val="16"/>
                <w:szCs w:val="16"/>
              </w:rPr>
              <w:t>„Verrückte“ Gesichter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F81E0A" w:rsidRPr="00F742AC">
              <w:rPr>
                <w:rFonts w:ascii="Arial" w:hAnsi="Arial" w:cs="Arial"/>
                <w:sz w:val="16"/>
                <w:szCs w:val="16"/>
              </w:rPr>
              <w:t xml:space="preserve">(kulturelle und gesellschaftliche Normen betrachten, reflektieren und hinterfragen insb. auch bezüglich Thematisierung von reflektierter Kommunikation in </w:t>
            </w:r>
            <w:proofErr w:type="spellStart"/>
            <w:r w:rsidR="00F81E0A" w:rsidRPr="00F742AC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="00F81E0A" w:rsidRPr="00F742AC">
              <w:rPr>
                <w:rFonts w:ascii="Arial" w:hAnsi="Arial" w:cs="Arial"/>
                <w:sz w:val="16"/>
                <w:szCs w:val="16"/>
              </w:rPr>
              <w:t xml:space="preserve"> Media nutzbar)</w:t>
            </w:r>
          </w:p>
          <w:p w:rsidR="00F81E0A" w:rsidRDefault="00F81E0A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911BC5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911BC5">
              <w:rPr>
                <w:rFonts w:ascii="Arial" w:hAnsi="Arial" w:cs="Arial"/>
                <w:sz w:val="16"/>
                <w:szCs w:val="16"/>
              </w:rPr>
              <w:t>190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11BC5" w:rsidRDefault="00911BC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706893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Lambacher Schweizer 7 SB</w:t>
            </w:r>
            <w:r w:rsidR="0070689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9407A" w:rsidRDefault="00706893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06893">
              <w:rPr>
                <w:rFonts w:ascii="Arial" w:hAnsi="Arial" w:cs="Arial"/>
                <w:sz w:val="16"/>
                <w:szCs w:val="16"/>
              </w:rPr>
              <w:t>S. 89</w:t>
            </w:r>
          </w:p>
          <w:p w:rsidR="000E5DD5" w:rsidRDefault="000E5DD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Pr="00706893" w:rsidRDefault="000E5DD5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706893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06893">
              <w:rPr>
                <w:rFonts w:ascii="Arial" w:hAnsi="Arial" w:cs="Arial"/>
                <w:sz w:val="16"/>
                <w:szCs w:val="16"/>
              </w:rPr>
              <w:t xml:space="preserve">„Verrückte“ Gesichter </w:t>
            </w:r>
            <w:r w:rsidR="00706893" w:rsidRPr="00F742AC">
              <w:rPr>
                <w:rFonts w:ascii="Arial" w:hAnsi="Arial" w:cs="Arial"/>
                <w:sz w:val="16"/>
                <w:szCs w:val="16"/>
              </w:rPr>
              <w:t>(</w:t>
            </w:r>
            <w:r w:rsidR="00F742AC" w:rsidRPr="00F742AC">
              <w:rPr>
                <w:rFonts w:ascii="Arial" w:hAnsi="Arial" w:cs="Arial"/>
                <w:sz w:val="16"/>
                <w:szCs w:val="16"/>
              </w:rPr>
              <w:t>Persönliche Risiken und Cybermobbing</w:t>
            </w:r>
            <w:r w:rsidR="00F742A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9407A">
              <w:rPr>
                <w:rFonts w:ascii="Arial" w:hAnsi="Arial" w:cs="Arial"/>
                <w:sz w:val="16"/>
                <w:szCs w:val="16"/>
              </w:rPr>
              <w:t>Möglichkeit der Thematisierung von</w:t>
            </w:r>
            <w:r w:rsidR="00F742AC" w:rsidRPr="00F742AC">
              <w:rPr>
                <w:rFonts w:ascii="Arial" w:hAnsi="Arial" w:cs="Arial"/>
                <w:sz w:val="16"/>
                <w:szCs w:val="16"/>
              </w:rPr>
              <w:t xml:space="preserve"> Mobbing auf Grund von Bildern in </w:t>
            </w:r>
            <w:proofErr w:type="spellStart"/>
            <w:r w:rsidR="00F742AC" w:rsidRPr="00F742AC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="00F742AC" w:rsidRPr="00F742AC">
              <w:rPr>
                <w:rFonts w:ascii="Arial" w:hAnsi="Arial" w:cs="Arial"/>
                <w:sz w:val="16"/>
                <w:szCs w:val="16"/>
              </w:rPr>
              <w:t xml:space="preserve"> Media/Optik von Menschen</w:t>
            </w:r>
            <w:r w:rsidR="00F742A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06893" w:rsidRDefault="00706893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7BB9" w:rsidRPr="000D5CBD" w:rsidRDefault="00657BB9" w:rsidP="0070689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E968C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E968C7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657BB9" w:rsidRPr="002130B0" w:rsidTr="00E968C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657BB9" w:rsidRPr="00AB2E87" w:rsidRDefault="00657BB9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657BB9" w:rsidRDefault="00657BB9" w:rsidP="002F6ACE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92977">
              <w:rPr>
                <w:rFonts w:ascii="Arial" w:hAnsi="Arial" w:cs="Arial"/>
                <w:sz w:val="16"/>
                <w:szCs w:val="16"/>
              </w:rPr>
              <w:t>7</w:t>
            </w:r>
            <w:r w:rsidR="00AD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B92977">
              <w:rPr>
                <w:rFonts w:ascii="Arial" w:hAnsi="Arial" w:cs="Arial"/>
                <w:sz w:val="16"/>
                <w:szCs w:val="16"/>
              </w:rPr>
              <w:t>Ein</w:t>
            </w:r>
            <w:r w:rsidR="00E968C7">
              <w:rPr>
                <w:rFonts w:ascii="Arial" w:hAnsi="Arial" w:cs="Arial"/>
                <w:sz w:val="16"/>
                <w:szCs w:val="16"/>
              </w:rPr>
              <w:t xml:space="preserve"> besonderer Geburtstagskalender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B92977">
              <w:rPr>
                <w:rFonts w:ascii="Arial" w:hAnsi="Arial" w:cs="Arial"/>
                <w:sz w:val="16"/>
                <w:szCs w:val="16"/>
              </w:rPr>
              <w:t xml:space="preserve">S. 80; S. 191 / Aufgabe 5 </w:t>
            </w:r>
            <w:r w:rsidR="00B92977" w:rsidRPr="00AD1879">
              <w:rPr>
                <w:rFonts w:ascii="Arial" w:hAnsi="Arial" w:cs="Arial"/>
                <w:sz w:val="16"/>
                <w:szCs w:val="16"/>
              </w:rPr>
              <w:t>(</w:t>
            </w:r>
            <w:r w:rsidR="00E968C7" w:rsidRPr="00E968C7">
              <w:rPr>
                <w:rFonts w:ascii="Arial" w:hAnsi="Arial" w:cs="Arial"/>
                <w:sz w:val="16"/>
                <w:szCs w:val="16"/>
              </w:rPr>
              <w:t>Medienprodukte gestalten</w:t>
            </w:r>
            <w:r w:rsidR="00E968C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92977">
              <w:rPr>
                <w:rFonts w:ascii="Arial" w:hAnsi="Arial" w:cs="Arial"/>
                <w:sz w:val="16"/>
                <w:szCs w:val="16"/>
              </w:rPr>
              <w:t>91</w:t>
            </w:r>
            <w:r>
              <w:rPr>
                <w:rFonts w:ascii="Arial" w:hAnsi="Arial" w:cs="Arial"/>
                <w:sz w:val="16"/>
                <w:szCs w:val="16"/>
              </w:rPr>
              <w:t xml:space="preserve">; S. </w:t>
            </w:r>
            <w:r w:rsidR="00B92977">
              <w:rPr>
                <w:rFonts w:ascii="Arial" w:hAnsi="Arial" w:cs="Arial"/>
                <w:sz w:val="16"/>
                <w:szCs w:val="16"/>
              </w:rPr>
              <w:t>156; S. 151-153</w:t>
            </w:r>
            <w:r w:rsidR="00E968C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968C7" w:rsidRPr="00E968C7">
              <w:rPr>
                <w:rFonts w:ascii="Arial" w:hAnsi="Arial" w:cs="Arial"/>
                <w:sz w:val="16"/>
                <w:szCs w:val="16"/>
              </w:rPr>
              <w:t xml:space="preserve">adressatengerechtes </w:t>
            </w:r>
            <w:r w:rsidR="00E968C7">
              <w:rPr>
                <w:rFonts w:ascii="Arial" w:hAnsi="Arial" w:cs="Arial"/>
                <w:sz w:val="16"/>
                <w:szCs w:val="16"/>
              </w:rPr>
              <w:t>P</w:t>
            </w:r>
            <w:r w:rsidR="00E968C7" w:rsidRPr="00E968C7">
              <w:rPr>
                <w:rFonts w:ascii="Arial" w:hAnsi="Arial" w:cs="Arial"/>
                <w:sz w:val="16"/>
                <w:szCs w:val="16"/>
              </w:rPr>
              <w:t>lanen, gestalten und präsentieren von Ergebnissen</w:t>
            </w:r>
            <w:r w:rsidR="00E968C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57BB9" w:rsidRPr="00CF7ECB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B92977" w:rsidRPr="00B92977" w:rsidRDefault="00B92977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15; </w:t>
            </w:r>
            <w:r w:rsidR="002819CB">
              <w:rPr>
                <w:rFonts w:ascii="Arial" w:hAnsi="Arial" w:cs="Arial"/>
                <w:sz w:val="16"/>
                <w:szCs w:val="16"/>
              </w:rPr>
              <w:t>S. 45</w:t>
            </w:r>
            <w:r w:rsidR="003F612A">
              <w:rPr>
                <w:rFonts w:ascii="Arial" w:hAnsi="Arial" w:cs="Arial"/>
                <w:sz w:val="16"/>
                <w:szCs w:val="16"/>
              </w:rPr>
              <w:t>;</w:t>
            </w:r>
            <w:r w:rsidR="003F612A" w:rsidRPr="00B92977">
              <w:rPr>
                <w:rFonts w:ascii="Arial" w:hAnsi="Arial" w:cs="Arial"/>
                <w:sz w:val="16"/>
                <w:szCs w:val="16"/>
              </w:rPr>
              <w:t xml:space="preserve"> S. 87</w:t>
            </w:r>
            <w:r w:rsidR="003F612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F612A" w:rsidRPr="003F612A">
              <w:rPr>
                <w:rFonts w:ascii="Arial" w:hAnsi="Arial" w:cs="Arial"/>
                <w:sz w:val="16"/>
                <w:szCs w:val="16"/>
              </w:rPr>
              <w:t>adressatengerechtes Planen, gestalten und präsentieren von Ergebnissen</w:t>
            </w:r>
            <w:r w:rsidR="003F612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0D5CBD" w:rsidRDefault="00657BB9" w:rsidP="002F6ACE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657BB9" w:rsidRDefault="00657BB9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2819CB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S.46 / „Verrückte“ Gesichter</w:t>
            </w:r>
            <w:r w:rsidR="00657BB9">
              <w:rPr>
                <w:rFonts w:ascii="Arial" w:hAnsi="Arial" w:cs="Arial"/>
                <w:sz w:val="16"/>
                <w:szCs w:val="16"/>
              </w:rPr>
              <w:t xml:space="preserve">; S.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657B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; 191</w:t>
            </w:r>
            <w:r w:rsidR="00D9407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9407A" w:rsidRPr="00D9407A">
              <w:rPr>
                <w:rFonts w:ascii="Arial" w:hAnsi="Arial" w:cs="Arial"/>
                <w:sz w:val="16"/>
                <w:szCs w:val="16"/>
              </w:rPr>
              <w:t>Gestaltungsmittel reflektiert anwenden</w:t>
            </w:r>
            <w:r w:rsidR="00D9407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819CB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657BB9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Kapitel V „Daten“</w:t>
            </w:r>
            <w:r w:rsidR="00657BB9">
              <w:rPr>
                <w:rFonts w:ascii="Arial" w:hAnsi="Arial" w:cs="Arial"/>
                <w:sz w:val="16"/>
                <w:szCs w:val="16"/>
              </w:rPr>
              <w:t xml:space="preserve">; S. </w:t>
            </w:r>
            <w:r>
              <w:rPr>
                <w:rFonts w:ascii="Arial" w:hAnsi="Arial" w:cs="Arial"/>
                <w:sz w:val="16"/>
                <w:szCs w:val="16"/>
              </w:rPr>
              <w:t>156</w:t>
            </w:r>
            <w:r w:rsidR="00657B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407A">
              <w:rPr>
                <w:rFonts w:ascii="Arial" w:hAnsi="Arial" w:cs="Arial"/>
                <w:sz w:val="16"/>
                <w:szCs w:val="16"/>
              </w:rPr>
              <w:t>(Gestaltungsmittel sowie</w:t>
            </w:r>
            <w:r w:rsidR="00D9407A" w:rsidRPr="00D9407A">
              <w:rPr>
                <w:rFonts w:ascii="Arial" w:hAnsi="Arial" w:cs="Arial"/>
                <w:sz w:val="16"/>
                <w:szCs w:val="16"/>
              </w:rPr>
              <w:t xml:space="preserve"> deren</w:t>
            </w:r>
            <w:r w:rsidRPr="00D9407A">
              <w:rPr>
                <w:rFonts w:ascii="Arial" w:hAnsi="Arial" w:cs="Arial"/>
                <w:sz w:val="16"/>
                <w:szCs w:val="16"/>
              </w:rPr>
              <w:t xml:space="preserve"> Wirkung und Absichten kennen)</w:t>
            </w:r>
          </w:p>
          <w:p w:rsidR="00657BB9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91; S. 151-153 </w:t>
            </w:r>
            <w:r w:rsidRPr="00D9407A">
              <w:rPr>
                <w:rFonts w:ascii="Arial" w:hAnsi="Arial" w:cs="Arial"/>
                <w:sz w:val="16"/>
                <w:szCs w:val="16"/>
              </w:rPr>
              <w:t>(Gestaltungsmittel anwenden, so dass Inhalt sinnvoll und übersichtlich vermittelt wird)</w:t>
            </w:r>
          </w:p>
          <w:p w:rsidR="002819CB" w:rsidRPr="00CF7ECB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2819CB" w:rsidRPr="002819CB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209; S. 180; S186 / Aufgabe 14 </w:t>
            </w:r>
            <w:r w:rsidRPr="00D9407A">
              <w:rPr>
                <w:rFonts w:ascii="Arial" w:hAnsi="Arial" w:cs="Arial"/>
                <w:sz w:val="16"/>
                <w:szCs w:val="16"/>
              </w:rPr>
              <w:t>(dynamische Geometriesoftware)</w:t>
            </w:r>
          </w:p>
          <w:p w:rsidR="00657BB9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36/ Aufgabe 19; S. 64 / Aufgabe 13; S. 65 / Aufgabe 14; S. 69 / Aufgabe </w:t>
            </w:r>
            <w:r w:rsidR="00FD4BD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407A">
              <w:rPr>
                <w:rFonts w:ascii="Arial" w:hAnsi="Arial" w:cs="Arial"/>
                <w:sz w:val="16"/>
                <w:szCs w:val="16"/>
              </w:rPr>
              <w:t>(Tabellenkalkulationsprogramme)</w:t>
            </w:r>
          </w:p>
          <w:p w:rsidR="002819CB" w:rsidRDefault="002819CB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194 </w:t>
            </w:r>
            <w:r w:rsidR="00F13B82">
              <w:rPr>
                <w:rFonts w:ascii="Arial" w:hAnsi="Arial" w:cs="Arial"/>
                <w:sz w:val="16"/>
                <w:szCs w:val="16"/>
              </w:rPr>
              <w:t>/ Aufgabe 8</w:t>
            </w:r>
          </w:p>
          <w:p w:rsidR="00657BB9" w:rsidRDefault="00657BB9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:rsidR="000E5DD5" w:rsidRPr="000D5CBD" w:rsidRDefault="000E5DD5" w:rsidP="00D9407A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0D5CBD" w:rsidRDefault="00657BB9" w:rsidP="001721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0D5CBD" w:rsidRDefault="00657BB9" w:rsidP="001721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657BB9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657BB9" w:rsidRPr="00AB2E87" w:rsidRDefault="00657BB9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DF50F5" w:rsidRDefault="00DF50F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S.46 / „Verrückte“ Gesichter (</w:t>
            </w:r>
            <w:r w:rsidRPr="003A53F0">
              <w:rPr>
                <w:rFonts w:ascii="Arial" w:hAnsi="Arial" w:cs="Arial"/>
                <w:sz w:val="16"/>
                <w:szCs w:val="16"/>
              </w:rPr>
              <w:t xml:space="preserve">insb. aktueller Bezug für Jugendliche, Realismus in </w:t>
            </w:r>
            <w:proofErr w:type="spellStart"/>
            <w:r w:rsidRPr="003A53F0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Pr="003A53F0">
              <w:rPr>
                <w:rFonts w:ascii="Arial" w:hAnsi="Arial" w:cs="Arial"/>
                <w:sz w:val="16"/>
                <w:szCs w:val="16"/>
              </w:rPr>
              <w:t xml:space="preserve"> Media Portalen bezüglich Bildbearbeitung</w:t>
            </w:r>
            <w:r w:rsidR="003A53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3F0">
              <w:rPr>
                <w:rFonts w:ascii="Arial" w:hAnsi="Arial" w:cs="Arial"/>
                <w:sz w:val="16"/>
                <w:szCs w:val="16"/>
              </w:rPr>
              <w:t>/</w:t>
            </w:r>
            <w:r w:rsidR="003A53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3F0">
              <w:rPr>
                <w:rFonts w:ascii="Arial" w:hAnsi="Arial" w:cs="Arial"/>
                <w:sz w:val="16"/>
                <w:szCs w:val="16"/>
              </w:rPr>
              <w:t>Photoshop und resultierende Glaubwürdigkeit)</w:t>
            </w:r>
          </w:p>
          <w:p w:rsidR="00DF50F5" w:rsidRDefault="00DF50F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7BB9" w:rsidRPr="000D5CBD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57BB9" w:rsidRPr="00DF50F5" w:rsidRDefault="00657BB9" w:rsidP="001F6C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  <w:p w:rsidR="00657BB9" w:rsidRPr="00845CEA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45CE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7: </w:t>
            </w:r>
          </w:p>
          <w:p w:rsidR="00657BB9" w:rsidRPr="00845CEA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845CEA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845CEA"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845CEA" w:rsidRPr="00845CEA" w:rsidRDefault="00845CEA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45CEA">
              <w:rPr>
                <w:rFonts w:ascii="Arial" w:hAnsi="Arial" w:cs="Arial"/>
                <w:sz w:val="16"/>
                <w:szCs w:val="16"/>
              </w:rPr>
              <w:t>S. 100 / Aufgabe 15</w:t>
            </w:r>
          </w:p>
          <w:p w:rsidR="00657BB9" w:rsidRPr="00845CEA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DF50F5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her Schweizer 5 SB:</w:t>
            </w:r>
          </w:p>
          <w:p w:rsidR="00657BB9" w:rsidRDefault="00DF50F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S.46 / „Verrückte“ Gesichter </w:t>
            </w:r>
            <w:r w:rsidRPr="00593C11">
              <w:rPr>
                <w:rFonts w:ascii="Arial" w:hAnsi="Arial" w:cs="Arial"/>
                <w:sz w:val="16"/>
                <w:szCs w:val="16"/>
              </w:rPr>
              <w:t>(Chancen und Herausforderungen von Medien für die Realitätswahrnehmung thematisieren)</w:t>
            </w:r>
          </w:p>
          <w:p w:rsidR="00DF50F5" w:rsidRDefault="00DF50F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0D5CBD" w:rsidRDefault="00657BB9" w:rsidP="00DF50F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657BB9" w:rsidRPr="000D5CBD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EB7B5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EB7B5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EB7B5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EB7B5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EB7B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657BB9" w:rsidRPr="002130B0" w:rsidTr="001D48E5">
        <w:tc>
          <w:tcPr>
            <w:tcW w:w="654" w:type="pct"/>
            <w:shd w:val="clear" w:color="auto" w:fill="FDD58C"/>
          </w:tcPr>
          <w:p w:rsidR="00657BB9" w:rsidRPr="001D48E5" w:rsidRDefault="00657BB9" w:rsidP="00EB7B5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8B37B1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37B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6: </w:t>
            </w:r>
          </w:p>
          <w:p w:rsidR="00657BB9" w:rsidRPr="008B37B1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8B37B1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8B37B1"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B37B1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8B37B1" w:rsidRPr="008B37B1">
              <w:rPr>
                <w:rFonts w:ascii="Arial" w:hAnsi="Arial" w:cs="Arial"/>
                <w:sz w:val="16"/>
                <w:szCs w:val="16"/>
              </w:rPr>
              <w:t>151-15</w:t>
            </w:r>
            <w:r w:rsidR="008B37B1">
              <w:rPr>
                <w:rFonts w:ascii="Arial" w:hAnsi="Arial" w:cs="Arial"/>
                <w:sz w:val="16"/>
                <w:szCs w:val="16"/>
              </w:rPr>
              <w:t>3</w:t>
            </w:r>
            <w:r w:rsidRPr="008B37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37B1" w:rsidRPr="008B37B1" w:rsidRDefault="008B37B1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845CEA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45CE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7: </w:t>
            </w:r>
          </w:p>
          <w:p w:rsidR="00657BB9" w:rsidRPr="00845CEA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845CEA">
              <w:rPr>
                <w:rFonts w:ascii="Arial" w:hAnsi="Arial" w:cs="Arial"/>
                <w:b/>
                <w:sz w:val="16"/>
                <w:szCs w:val="16"/>
              </w:rPr>
              <w:t>Lambacher Schweizer 7 SB: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F6ACE" w:rsidRDefault="00845CEA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 / Beispiel 2; S. 16 / Aufgabe 6; </w:t>
            </w:r>
            <w:r>
              <w:rPr>
                <w:rFonts w:ascii="Arial" w:hAnsi="Arial" w:cs="Arial"/>
                <w:sz w:val="16"/>
                <w:szCs w:val="16"/>
              </w:rPr>
              <w:br/>
              <w:t>S. 62 / Beispiel 2; S. 65 / Aufgabe 16;</w:t>
            </w:r>
            <w:r w:rsidR="008B37B1">
              <w:rPr>
                <w:rFonts w:ascii="Arial" w:hAnsi="Arial" w:cs="Arial"/>
                <w:sz w:val="16"/>
                <w:szCs w:val="16"/>
              </w:rPr>
              <w:t xml:space="preserve"> S. 87 / Beispiel 1; S. 103-105; </w:t>
            </w:r>
            <w:r>
              <w:rPr>
                <w:rFonts w:ascii="Arial" w:hAnsi="Arial" w:cs="Arial"/>
                <w:sz w:val="16"/>
                <w:szCs w:val="16"/>
              </w:rPr>
              <w:t xml:space="preserve">S. 124 / </w:t>
            </w:r>
          </w:p>
          <w:p w:rsidR="00657BB9" w:rsidRDefault="00845CEA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Aufgabe 16</w:t>
            </w:r>
          </w:p>
          <w:p w:rsidR="00657BB9" w:rsidRPr="000D5CBD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691627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F50F5">
              <w:rPr>
                <w:rFonts w:ascii="Arial" w:hAnsi="Arial" w:cs="Arial"/>
                <w:sz w:val="16"/>
                <w:szCs w:val="16"/>
              </w:rPr>
              <w:t>227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1627" w:rsidRDefault="00691627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DF50F5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F50F5">
              <w:rPr>
                <w:rFonts w:ascii="Arial" w:hAnsi="Arial" w:cs="Arial"/>
                <w:sz w:val="16"/>
                <w:szCs w:val="16"/>
              </w:rPr>
              <w:t>151-153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F50F5" w:rsidRDefault="00DF50F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2F6ACE" w:rsidRDefault="008B37B1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 / Beispiel 1; S. 15 / Beispiel 2 ; S. 65 / Aufgabe 16; S. 87 / Beispiel 1; </w:t>
            </w:r>
            <w:r w:rsidR="00DF50F5" w:rsidRPr="00DF50F5">
              <w:rPr>
                <w:rFonts w:ascii="Arial" w:hAnsi="Arial" w:cs="Arial"/>
                <w:sz w:val="16"/>
                <w:szCs w:val="16"/>
              </w:rPr>
              <w:t>S.103-105</w:t>
            </w:r>
            <w:r w:rsidR="00DF50F5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657BB9" w:rsidRDefault="00DF50F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124; </w:t>
            </w: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E5DD5" w:rsidRPr="000D5CBD" w:rsidRDefault="000E5DD5" w:rsidP="008B37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</w:tcPr>
          <w:p w:rsidR="00657BB9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Lamba</w:t>
            </w:r>
            <w:r w:rsidR="00F81E0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her Schweizer 5 SB: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F50F5">
              <w:rPr>
                <w:rFonts w:ascii="Arial" w:hAnsi="Arial" w:cs="Arial"/>
                <w:sz w:val="16"/>
                <w:szCs w:val="16"/>
              </w:rPr>
              <w:t xml:space="preserve">116 </w:t>
            </w:r>
          </w:p>
          <w:p w:rsidR="00657BB9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6 SB: </w:t>
            </w:r>
          </w:p>
          <w:p w:rsidR="00657BB9" w:rsidRPr="00DF50F5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F50F5">
              <w:rPr>
                <w:rFonts w:ascii="Arial" w:hAnsi="Arial" w:cs="Arial"/>
                <w:sz w:val="16"/>
                <w:szCs w:val="16"/>
              </w:rPr>
              <w:t>57</w:t>
            </w:r>
            <w:r w:rsidR="00691627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F50F5">
              <w:rPr>
                <w:rFonts w:ascii="Arial" w:hAnsi="Arial" w:cs="Arial"/>
                <w:sz w:val="16"/>
                <w:szCs w:val="16"/>
              </w:rPr>
              <w:t>151-153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7BB9" w:rsidRPr="00CF7ECB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Pr="00B753A4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57BB9" w:rsidRPr="000D5CBD" w:rsidRDefault="00657BB9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57BB9" w:rsidRDefault="00657BB9" w:rsidP="002F6AC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Lambacher Schweizer 7 SB: </w:t>
            </w:r>
          </w:p>
          <w:p w:rsidR="002F6ACE" w:rsidRDefault="008B37B1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 / Beispiel 1; S. 15 / Beispiel 2; </w:t>
            </w:r>
            <w:r w:rsidR="00DF50F5" w:rsidRPr="00DF50F5">
              <w:rPr>
                <w:rFonts w:ascii="Arial" w:hAnsi="Arial" w:cs="Arial"/>
                <w:sz w:val="16"/>
                <w:szCs w:val="16"/>
              </w:rPr>
              <w:t>S.167</w:t>
            </w:r>
            <w:r w:rsidR="00DF50F5">
              <w:rPr>
                <w:rFonts w:ascii="Arial" w:hAnsi="Arial" w:cs="Arial"/>
                <w:sz w:val="16"/>
                <w:szCs w:val="16"/>
              </w:rPr>
              <w:t xml:space="preserve">; S. 103-105; S. 124 / </w:t>
            </w:r>
          </w:p>
          <w:p w:rsidR="00657BB9" w:rsidRDefault="00DF50F5" w:rsidP="002F6A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45CEA">
              <w:rPr>
                <w:rFonts w:ascii="Arial" w:hAnsi="Arial" w:cs="Arial"/>
                <w:sz w:val="16"/>
                <w:szCs w:val="16"/>
              </w:rPr>
              <w:t>Aufgabe</w:t>
            </w:r>
            <w:r w:rsidR="00845CEA">
              <w:rPr>
                <w:rFonts w:ascii="Arial" w:hAnsi="Arial" w:cs="Arial"/>
                <w:sz w:val="16"/>
                <w:szCs w:val="16"/>
              </w:rPr>
              <w:t xml:space="preserve"> 15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657BB9" w:rsidRPr="000D5CBD" w:rsidRDefault="00657BB9" w:rsidP="001F6C1F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</w:tcPr>
          <w:p w:rsidR="00657BB9" w:rsidRPr="000D5CBD" w:rsidRDefault="00657BB9" w:rsidP="008B37B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E3" w:rsidRDefault="00FC74E3" w:rsidP="002421C0">
      <w:pPr>
        <w:spacing w:after="0" w:line="240" w:lineRule="auto"/>
      </w:pPr>
      <w:r>
        <w:separator/>
      </w:r>
    </w:p>
  </w:endnote>
  <w:endnote w:type="continuationSeparator" w:id="0">
    <w:p w:rsidR="00FC74E3" w:rsidRDefault="00FC74E3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4" w:rsidRPr="004F7230" w:rsidRDefault="00EB7B5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61B208D0" wp14:editId="0608F473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68DEF" wp14:editId="4ACFDF78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EB7B54" w:rsidRPr="00DA2388" w:rsidRDefault="00EB7B5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EF2A7A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4" w:rsidRPr="004F7230" w:rsidRDefault="00EB7B5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2E86B410" wp14:editId="00B69139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EDEF27" wp14:editId="20FC94E5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EB7B54" w:rsidRPr="00BC613D" w:rsidRDefault="00EB7B5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 w:rsidR="00877E10">
      <w:rPr>
        <w:rFonts w:ascii="Arial" w:hAnsi="Arial" w:cs="Arial"/>
        <w:sz w:val="14"/>
        <w:szCs w:val="14"/>
      </w:rPr>
      <w:t xml:space="preserve">      W700710 (02/19)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EF2A7A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E3" w:rsidRDefault="00FC74E3" w:rsidP="002421C0">
      <w:pPr>
        <w:spacing w:after="0" w:line="240" w:lineRule="auto"/>
      </w:pPr>
      <w:r>
        <w:separator/>
      </w:r>
    </w:p>
  </w:footnote>
  <w:footnote w:type="continuationSeparator" w:id="0">
    <w:p w:rsidR="00FC74E3" w:rsidRDefault="00FC74E3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4" w:rsidRDefault="00EB7B54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3E2ECE18" wp14:editId="24A554D9">
          <wp:simplePos x="0" y="0"/>
          <wp:positionH relativeFrom="column">
            <wp:posOffset>-26035</wp:posOffset>
          </wp:positionH>
          <wp:positionV relativeFrom="paragraph">
            <wp:posOffset>-108585</wp:posOffset>
          </wp:positionV>
          <wp:extent cx="280670" cy="280670"/>
          <wp:effectExtent l="0" t="0" r="508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 w:rsidR="0036062E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Lambacher Schweizer (Ausgabe ab 2016) </w:t>
    </w:r>
  </w:p>
  <w:p w:rsidR="00EB7B54" w:rsidRPr="003D439C" w:rsidRDefault="00EB7B5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4" w:rsidRDefault="00EB7B5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6"/>
    <w:rsid w:val="00022F7F"/>
    <w:rsid w:val="0003420C"/>
    <w:rsid w:val="00045E18"/>
    <w:rsid w:val="0004686F"/>
    <w:rsid w:val="000608B5"/>
    <w:rsid w:val="000A7DF8"/>
    <w:rsid w:val="000B3F25"/>
    <w:rsid w:val="000B7CAA"/>
    <w:rsid w:val="000C29A5"/>
    <w:rsid w:val="000D5CBD"/>
    <w:rsid w:val="000E3CC1"/>
    <w:rsid w:val="000E5DD5"/>
    <w:rsid w:val="00101252"/>
    <w:rsid w:val="00101843"/>
    <w:rsid w:val="00105E67"/>
    <w:rsid w:val="001116FC"/>
    <w:rsid w:val="00122305"/>
    <w:rsid w:val="00163D16"/>
    <w:rsid w:val="00172104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20BCD"/>
    <w:rsid w:val="00235457"/>
    <w:rsid w:val="00236568"/>
    <w:rsid w:val="00240F64"/>
    <w:rsid w:val="002421C0"/>
    <w:rsid w:val="00255412"/>
    <w:rsid w:val="00263D7E"/>
    <w:rsid w:val="002753BD"/>
    <w:rsid w:val="0027790D"/>
    <w:rsid w:val="002819CB"/>
    <w:rsid w:val="00284727"/>
    <w:rsid w:val="00287D15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2F6ACE"/>
    <w:rsid w:val="003034E4"/>
    <w:rsid w:val="0031574A"/>
    <w:rsid w:val="00317988"/>
    <w:rsid w:val="00331148"/>
    <w:rsid w:val="003477FF"/>
    <w:rsid w:val="0036062E"/>
    <w:rsid w:val="00380181"/>
    <w:rsid w:val="00380B39"/>
    <w:rsid w:val="00384B62"/>
    <w:rsid w:val="00385A98"/>
    <w:rsid w:val="003A3E3F"/>
    <w:rsid w:val="003A53F0"/>
    <w:rsid w:val="003B6B2B"/>
    <w:rsid w:val="003C37B1"/>
    <w:rsid w:val="003C421D"/>
    <w:rsid w:val="003D439C"/>
    <w:rsid w:val="003D4F09"/>
    <w:rsid w:val="003E470F"/>
    <w:rsid w:val="003F612A"/>
    <w:rsid w:val="00401CBF"/>
    <w:rsid w:val="00433F83"/>
    <w:rsid w:val="00441647"/>
    <w:rsid w:val="00442592"/>
    <w:rsid w:val="0045420C"/>
    <w:rsid w:val="00455726"/>
    <w:rsid w:val="00466D36"/>
    <w:rsid w:val="00476C64"/>
    <w:rsid w:val="004A1C23"/>
    <w:rsid w:val="004B0764"/>
    <w:rsid w:val="004C13CC"/>
    <w:rsid w:val="004C7F2C"/>
    <w:rsid w:val="004D0849"/>
    <w:rsid w:val="004D0FDE"/>
    <w:rsid w:val="004F7230"/>
    <w:rsid w:val="00507005"/>
    <w:rsid w:val="005079D6"/>
    <w:rsid w:val="005115FA"/>
    <w:rsid w:val="00515C31"/>
    <w:rsid w:val="00532122"/>
    <w:rsid w:val="0053615B"/>
    <w:rsid w:val="005441D2"/>
    <w:rsid w:val="0055061C"/>
    <w:rsid w:val="00555873"/>
    <w:rsid w:val="005732C4"/>
    <w:rsid w:val="00593C11"/>
    <w:rsid w:val="005A1199"/>
    <w:rsid w:val="005B4D9C"/>
    <w:rsid w:val="005B73C1"/>
    <w:rsid w:val="005D3CF2"/>
    <w:rsid w:val="005D58B1"/>
    <w:rsid w:val="005D6247"/>
    <w:rsid w:val="005D673C"/>
    <w:rsid w:val="005E5FCD"/>
    <w:rsid w:val="00601124"/>
    <w:rsid w:val="00605202"/>
    <w:rsid w:val="00610FED"/>
    <w:rsid w:val="00613321"/>
    <w:rsid w:val="00613722"/>
    <w:rsid w:val="00656F8C"/>
    <w:rsid w:val="00657BB9"/>
    <w:rsid w:val="00680B42"/>
    <w:rsid w:val="00691627"/>
    <w:rsid w:val="006A6EB0"/>
    <w:rsid w:val="006B16A0"/>
    <w:rsid w:val="006B3CE7"/>
    <w:rsid w:val="006C37DD"/>
    <w:rsid w:val="006C5953"/>
    <w:rsid w:val="006E04A4"/>
    <w:rsid w:val="006E70AE"/>
    <w:rsid w:val="006F2623"/>
    <w:rsid w:val="00706893"/>
    <w:rsid w:val="00717FEB"/>
    <w:rsid w:val="0073029A"/>
    <w:rsid w:val="007864FC"/>
    <w:rsid w:val="00786530"/>
    <w:rsid w:val="007B550F"/>
    <w:rsid w:val="007C452F"/>
    <w:rsid w:val="007C6E2D"/>
    <w:rsid w:val="007D1F9F"/>
    <w:rsid w:val="007D2092"/>
    <w:rsid w:val="007E0339"/>
    <w:rsid w:val="007E62AF"/>
    <w:rsid w:val="007F6078"/>
    <w:rsid w:val="00801E0A"/>
    <w:rsid w:val="00810136"/>
    <w:rsid w:val="00843C20"/>
    <w:rsid w:val="00845CEA"/>
    <w:rsid w:val="00846C78"/>
    <w:rsid w:val="00871253"/>
    <w:rsid w:val="00877E10"/>
    <w:rsid w:val="008913F6"/>
    <w:rsid w:val="008B37B1"/>
    <w:rsid w:val="008C329E"/>
    <w:rsid w:val="008C63D0"/>
    <w:rsid w:val="008D575B"/>
    <w:rsid w:val="008D7396"/>
    <w:rsid w:val="008F311A"/>
    <w:rsid w:val="008F457B"/>
    <w:rsid w:val="00900D32"/>
    <w:rsid w:val="00911BC5"/>
    <w:rsid w:val="0091701C"/>
    <w:rsid w:val="0094463C"/>
    <w:rsid w:val="00947BD6"/>
    <w:rsid w:val="00992D42"/>
    <w:rsid w:val="00997E53"/>
    <w:rsid w:val="009B7E07"/>
    <w:rsid w:val="00A06D95"/>
    <w:rsid w:val="00A37A54"/>
    <w:rsid w:val="00A40157"/>
    <w:rsid w:val="00A451FE"/>
    <w:rsid w:val="00A479DD"/>
    <w:rsid w:val="00A6112A"/>
    <w:rsid w:val="00A63A27"/>
    <w:rsid w:val="00A87E5E"/>
    <w:rsid w:val="00A92FFC"/>
    <w:rsid w:val="00A961CC"/>
    <w:rsid w:val="00AB160C"/>
    <w:rsid w:val="00AB2E87"/>
    <w:rsid w:val="00AB34BE"/>
    <w:rsid w:val="00AB5233"/>
    <w:rsid w:val="00AD1879"/>
    <w:rsid w:val="00AD3FA9"/>
    <w:rsid w:val="00AE6331"/>
    <w:rsid w:val="00B203DD"/>
    <w:rsid w:val="00B209C9"/>
    <w:rsid w:val="00B26806"/>
    <w:rsid w:val="00B4140E"/>
    <w:rsid w:val="00B43AE2"/>
    <w:rsid w:val="00B53ED4"/>
    <w:rsid w:val="00B753A4"/>
    <w:rsid w:val="00B7772A"/>
    <w:rsid w:val="00B831A9"/>
    <w:rsid w:val="00B87035"/>
    <w:rsid w:val="00B92977"/>
    <w:rsid w:val="00BB0D3E"/>
    <w:rsid w:val="00BC613D"/>
    <w:rsid w:val="00BD2449"/>
    <w:rsid w:val="00C07151"/>
    <w:rsid w:val="00C43EAF"/>
    <w:rsid w:val="00C52253"/>
    <w:rsid w:val="00C53775"/>
    <w:rsid w:val="00C55480"/>
    <w:rsid w:val="00C56B1D"/>
    <w:rsid w:val="00C8169F"/>
    <w:rsid w:val="00CA239D"/>
    <w:rsid w:val="00CD272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4073B"/>
    <w:rsid w:val="00D620C3"/>
    <w:rsid w:val="00D63BC9"/>
    <w:rsid w:val="00D73656"/>
    <w:rsid w:val="00D832CC"/>
    <w:rsid w:val="00D9407A"/>
    <w:rsid w:val="00D94DE8"/>
    <w:rsid w:val="00DA0738"/>
    <w:rsid w:val="00DA2388"/>
    <w:rsid w:val="00DB08FD"/>
    <w:rsid w:val="00DB75FB"/>
    <w:rsid w:val="00DC25C0"/>
    <w:rsid w:val="00DE1532"/>
    <w:rsid w:val="00DE3391"/>
    <w:rsid w:val="00DF1BCD"/>
    <w:rsid w:val="00DF50F5"/>
    <w:rsid w:val="00E207F4"/>
    <w:rsid w:val="00E25B4B"/>
    <w:rsid w:val="00E3277E"/>
    <w:rsid w:val="00E330A8"/>
    <w:rsid w:val="00E34AE9"/>
    <w:rsid w:val="00E35D83"/>
    <w:rsid w:val="00E419A6"/>
    <w:rsid w:val="00E65370"/>
    <w:rsid w:val="00E968C7"/>
    <w:rsid w:val="00EB7B54"/>
    <w:rsid w:val="00ED121C"/>
    <w:rsid w:val="00ED3401"/>
    <w:rsid w:val="00EE3B46"/>
    <w:rsid w:val="00EF09A7"/>
    <w:rsid w:val="00EF2A7A"/>
    <w:rsid w:val="00EF6FFB"/>
    <w:rsid w:val="00F073F8"/>
    <w:rsid w:val="00F13B82"/>
    <w:rsid w:val="00F17CD6"/>
    <w:rsid w:val="00F210AE"/>
    <w:rsid w:val="00F22772"/>
    <w:rsid w:val="00F27C2B"/>
    <w:rsid w:val="00F36FE4"/>
    <w:rsid w:val="00F516ED"/>
    <w:rsid w:val="00F51850"/>
    <w:rsid w:val="00F53779"/>
    <w:rsid w:val="00F548CD"/>
    <w:rsid w:val="00F63694"/>
    <w:rsid w:val="00F742AC"/>
    <w:rsid w:val="00F77765"/>
    <w:rsid w:val="00F81E0A"/>
    <w:rsid w:val="00F84A2E"/>
    <w:rsid w:val="00F913A9"/>
    <w:rsid w:val="00F92150"/>
    <w:rsid w:val="00F947CF"/>
    <w:rsid w:val="00FC1158"/>
    <w:rsid w:val="00FC22EA"/>
    <w:rsid w:val="00FC6F31"/>
    <w:rsid w:val="00FC74E3"/>
    <w:rsid w:val="00FD23C6"/>
    <w:rsid w:val="00FD4BD4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B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B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B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E9F3-754D-4530-9FE5-F93FB85E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1338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Stroppe, Carolin</dc:creator>
  <cp:lastModifiedBy>Stanula, Katrin</cp:lastModifiedBy>
  <cp:revision>8</cp:revision>
  <cp:lastPrinted>2019-01-31T10:42:00Z</cp:lastPrinted>
  <dcterms:created xsi:type="dcterms:W3CDTF">2019-01-31T09:16:00Z</dcterms:created>
  <dcterms:modified xsi:type="dcterms:W3CDTF">2019-01-31T10:42:00Z</dcterms:modified>
</cp:coreProperties>
</file>