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38BD22E4" w14:textId="000B0BAA" w:rsidR="005C0DD0" w:rsidRPr="001F6BE7" w:rsidRDefault="008E62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E27BE8" wp14:editId="45C79542">
            <wp:simplePos x="0" y="0"/>
            <wp:positionH relativeFrom="column">
              <wp:posOffset>7741285</wp:posOffset>
            </wp:positionH>
            <wp:positionV relativeFrom="paragraph">
              <wp:posOffset>-1260475</wp:posOffset>
            </wp:positionV>
            <wp:extent cx="2304000" cy="2242800"/>
            <wp:effectExtent l="0" t="0" r="127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2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307" w:rsidRPr="001F6BE7">
        <w:rPr>
          <w:rFonts w:ascii="Arial" w:hAnsi="Arial" w:cs="Arial"/>
          <w:b/>
          <w:bCs/>
          <w:sz w:val="22"/>
          <w:szCs w:val="22"/>
        </w:rPr>
        <w:t>Hybrides Lernen</w:t>
      </w:r>
      <w:r w:rsidR="00BF5593">
        <w:rPr>
          <w:rFonts w:ascii="Arial" w:hAnsi="Arial" w:cs="Arial"/>
          <w:b/>
          <w:bCs/>
          <w:sz w:val="22"/>
          <w:szCs w:val="22"/>
        </w:rPr>
        <w:t xml:space="preserve"> mit Challenge</w:t>
      </w:r>
    </w:p>
    <w:p w14:paraId="4AF048F0" w14:textId="77777777" w:rsidR="00090496" w:rsidRPr="001F6BE7" w:rsidRDefault="00090496">
      <w:pPr>
        <w:rPr>
          <w:rFonts w:ascii="Arial" w:hAnsi="Arial" w:cs="Arial"/>
          <w:sz w:val="22"/>
          <w:szCs w:val="22"/>
        </w:rPr>
      </w:pPr>
    </w:p>
    <w:p w14:paraId="7F2AFD4B" w14:textId="07A93EE9" w:rsidR="00F74307" w:rsidRDefault="00C95D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Skizzierung einer </w:t>
      </w:r>
      <w:r w:rsidR="00B4659C"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hybriden </w:t>
      </w:r>
      <w:r w:rsidRPr="001F6BE7">
        <w:rPr>
          <w:rFonts w:ascii="Arial" w:hAnsi="Arial" w:cs="Arial"/>
          <w:b/>
          <w:bCs/>
          <w:sz w:val="22"/>
          <w:szCs w:val="22"/>
          <w:u w:val="single"/>
        </w:rPr>
        <w:t xml:space="preserve">Unterrichtsreihe zur </w:t>
      </w:r>
      <w:r w:rsidR="000F2970">
        <w:rPr>
          <w:rFonts w:ascii="Arial" w:hAnsi="Arial" w:cs="Arial"/>
          <w:b/>
          <w:bCs/>
          <w:sz w:val="22"/>
          <w:szCs w:val="22"/>
          <w:u w:val="single"/>
        </w:rPr>
        <w:t xml:space="preserve">Vertiefung der Rezeptionskompetenz im </w:t>
      </w:r>
      <w:r w:rsidR="00090496" w:rsidRPr="001F6BE7">
        <w:rPr>
          <w:rFonts w:ascii="Arial" w:hAnsi="Arial" w:cs="Arial"/>
          <w:b/>
          <w:bCs/>
          <w:sz w:val="22"/>
          <w:szCs w:val="22"/>
          <w:u w:val="single"/>
        </w:rPr>
        <w:t>Beruflichen Gymnasium</w:t>
      </w:r>
    </w:p>
    <w:p w14:paraId="02DF1CA2" w14:textId="445A17DE" w:rsidR="000F2970" w:rsidRDefault="000F297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F526F26" w14:textId="32112DA3" w:rsidR="000F2970" w:rsidRPr="000F2970" w:rsidRDefault="000F2970">
      <w:pPr>
        <w:rPr>
          <w:rFonts w:ascii="Arial" w:hAnsi="Arial" w:cs="Arial"/>
          <w:i/>
          <w:iCs/>
          <w:sz w:val="22"/>
          <w:szCs w:val="22"/>
        </w:rPr>
      </w:pPr>
      <w:r w:rsidRPr="000F2970">
        <w:rPr>
          <w:rFonts w:ascii="Arial" w:hAnsi="Arial" w:cs="Arial"/>
          <w:i/>
          <w:iCs/>
          <w:sz w:val="22"/>
          <w:szCs w:val="22"/>
        </w:rPr>
        <w:t xml:space="preserve">Dieser Fokus auf mündlicher und schriftlicher Rezeption stellt einen Ausschnitt eines größeren Unterrichtszusammenhangs dar. Eine isolierte Erarbeitung der Rezeptionskompetenz wird nicht </w:t>
      </w:r>
      <w:r w:rsidR="00AB18EF">
        <w:rPr>
          <w:rFonts w:ascii="Arial" w:hAnsi="Arial" w:cs="Arial"/>
          <w:i/>
          <w:iCs/>
          <w:sz w:val="22"/>
          <w:szCs w:val="22"/>
        </w:rPr>
        <w:t xml:space="preserve">alleine </w:t>
      </w:r>
      <w:r w:rsidRPr="000F2970">
        <w:rPr>
          <w:rFonts w:ascii="Arial" w:hAnsi="Arial" w:cs="Arial"/>
          <w:i/>
          <w:iCs/>
          <w:sz w:val="22"/>
          <w:szCs w:val="22"/>
        </w:rPr>
        <w:t xml:space="preserve">Gegenstand einer Unterrichtsreihe im Sinne von </w:t>
      </w:r>
      <w:proofErr w:type="spellStart"/>
      <w:r w:rsidRPr="000F2970">
        <w:rPr>
          <w:rFonts w:ascii="Arial" w:hAnsi="Arial" w:cs="Arial"/>
          <w:i/>
          <w:iCs/>
          <w:sz w:val="22"/>
          <w:szCs w:val="22"/>
        </w:rPr>
        <w:t>balanced</w:t>
      </w:r>
      <w:proofErr w:type="spellEnd"/>
      <w:r w:rsidRPr="000F297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2970"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 w:rsidRPr="000F2970">
        <w:rPr>
          <w:rFonts w:ascii="Arial" w:hAnsi="Arial" w:cs="Arial"/>
          <w:i/>
          <w:iCs/>
          <w:sz w:val="22"/>
          <w:szCs w:val="22"/>
        </w:rPr>
        <w:t xml:space="preserve"> sein. </w:t>
      </w:r>
    </w:p>
    <w:p w14:paraId="2F442BD8" w14:textId="18C6C3B5" w:rsidR="00F74307" w:rsidRPr="001F6BE7" w:rsidRDefault="00F7430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4280" w:type="dxa"/>
        <w:tblLayout w:type="fixed"/>
        <w:tblLook w:val="04A0" w:firstRow="1" w:lastRow="0" w:firstColumn="1" w:lastColumn="0" w:noHBand="0" w:noVBand="1"/>
      </w:tblPr>
      <w:tblGrid>
        <w:gridCol w:w="580"/>
        <w:gridCol w:w="2769"/>
        <w:gridCol w:w="666"/>
        <w:gridCol w:w="668"/>
        <w:gridCol w:w="1202"/>
        <w:gridCol w:w="1203"/>
        <w:gridCol w:w="1203"/>
        <w:gridCol w:w="1203"/>
        <w:gridCol w:w="1196"/>
        <w:gridCol w:w="1197"/>
        <w:gridCol w:w="1196"/>
        <w:gridCol w:w="1197"/>
      </w:tblGrid>
      <w:tr w:rsidR="00F74307" w:rsidRPr="001F6BE7" w14:paraId="7E623474" w14:textId="77777777" w:rsidTr="00C95D27">
        <w:trPr>
          <w:trHeight w:val="234"/>
        </w:trPr>
        <w:tc>
          <w:tcPr>
            <w:tcW w:w="580" w:type="dxa"/>
            <w:shd w:val="clear" w:color="auto" w:fill="auto"/>
          </w:tcPr>
          <w:p w14:paraId="6552D23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UE</w:t>
            </w:r>
          </w:p>
        </w:tc>
        <w:tc>
          <w:tcPr>
            <w:tcW w:w="2769" w:type="dxa"/>
            <w:shd w:val="clear" w:color="auto" w:fill="auto"/>
          </w:tcPr>
          <w:p w14:paraId="35574C2B" w14:textId="77777777" w:rsidR="00F74307" w:rsidRPr="001F6BE7" w:rsidRDefault="00C95D2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S</w:t>
            </w:r>
            <w:r w:rsidR="00F74307" w:rsidRPr="001F6BE7">
              <w:rPr>
                <w:rFonts w:ascii="Arial" w:hAnsi="Arial" w:cs="Arial"/>
                <w:sz w:val="22"/>
                <w:szCs w:val="22"/>
              </w:rPr>
              <w:t>chwerpunkt</w:t>
            </w:r>
          </w:p>
        </w:tc>
        <w:tc>
          <w:tcPr>
            <w:tcW w:w="666" w:type="dxa"/>
            <w:shd w:val="clear" w:color="auto" w:fill="auto"/>
          </w:tcPr>
          <w:p w14:paraId="7111CC55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tcW w:w="668" w:type="dxa"/>
            <w:shd w:val="clear" w:color="auto" w:fill="auto"/>
          </w:tcPr>
          <w:p w14:paraId="52D8DA5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811" w:type="dxa"/>
            <w:gridSpan w:val="4"/>
            <w:shd w:val="clear" w:color="auto" w:fill="auto"/>
          </w:tcPr>
          <w:p w14:paraId="643DAA1A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>Präsenz. Die SuS arbeiten überwiegend …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2CB38781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BE7">
              <w:rPr>
                <w:rFonts w:ascii="Arial" w:hAnsi="Arial" w:cs="Arial"/>
                <w:b/>
                <w:bCs/>
                <w:sz w:val="22"/>
                <w:szCs w:val="22"/>
              </w:rPr>
              <w:t>Distanz: Die SuS arbeiten überwiegend …</w:t>
            </w:r>
          </w:p>
        </w:tc>
      </w:tr>
      <w:tr w:rsidR="00F74307" w:rsidRPr="001F6BE7" w14:paraId="3B1E8353" w14:textId="77777777" w:rsidTr="0036591F">
        <w:tc>
          <w:tcPr>
            <w:tcW w:w="580" w:type="dxa"/>
            <w:shd w:val="clear" w:color="auto" w:fill="auto"/>
          </w:tcPr>
          <w:p w14:paraId="1883491E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</w:tcPr>
          <w:p w14:paraId="7F98CADA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14:paraId="23AB0DE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14:paraId="7441F2F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211304F0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alleine</w:t>
            </w:r>
          </w:p>
        </w:tc>
        <w:tc>
          <w:tcPr>
            <w:tcW w:w="1203" w:type="dxa"/>
            <w:shd w:val="clear" w:color="auto" w:fill="auto"/>
          </w:tcPr>
          <w:p w14:paraId="36C7BAFF" w14:textId="275D9A03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Lern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1B133F1" w14:textId="2DB93F8C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tandem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14:paraId="4D3E7304" w14:textId="77777777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36228CB4" w14:textId="4CEA229B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203" w:type="dxa"/>
            <w:shd w:val="clear" w:color="auto" w:fill="auto"/>
          </w:tcPr>
          <w:p w14:paraId="667C9B72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  <w:tc>
          <w:tcPr>
            <w:tcW w:w="1196" w:type="dxa"/>
            <w:shd w:val="clear" w:color="auto" w:fill="auto"/>
          </w:tcPr>
          <w:p w14:paraId="55645E3F" w14:textId="77777777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alleine</w:t>
            </w:r>
          </w:p>
        </w:tc>
        <w:tc>
          <w:tcPr>
            <w:tcW w:w="1197" w:type="dxa"/>
            <w:shd w:val="clear" w:color="auto" w:fill="auto"/>
          </w:tcPr>
          <w:p w14:paraId="06807E11" w14:textId="6FCF5111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Lern</w:t>
            </w:r>
            <w:r w:rsidR="00CB35AD" w:rsidRPr="001F6BE7">
              <w:rPr>
                <w:rFonts w:ascii="Arial" w:hAnsi="Arial" w:cs="Arial"/>
                <w:sz w:val="22"/>
                <w:szCs w:val="22"/>
              </w:rPr>
              <w:t>-</w:t>
            </w:r>
            <w:r w:rsidRPr="001F6BE7">
              <w:rPr>
                <w:rFonts w:ascii="Arial" w:hAnsi="Arial" w:cs="Arial"/>
                <w:sz w:val="22"/>
                <w:szCs w:val="22"/>
              </w:rPr>
              <w:t>tandem</w:t>
            </w:r>
          </w:p>
        </w:tc>
        <w:tc>
          <w:tcPr>
            <w:tcW w:w="1196" w:type="dxa"/>
            <w:shd w:val="clear" w:color="auto" w:fill="auto"/>
          </w:tcPr>
          <w:p w14:paraId="06256FAD" w14:textId="77777777" w:rsidR="00CB35AD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in </w:t>
            </w:r>
          </w:p>
          <w:p w14:paraId="0A710A3A" w14:textId="7F65F999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Gruppen</w:t>
            </w:r>
          </w:p>
        </w:tc>
        <w:tc>
          <w:tcPr>
            <w:tcW w:w="1197" w:type="dxa"/>
            <w:shd w:val="clear" w:color="auto" w:fill="auto"/>
          </w:tcPr>
          <w:p w14:paraId="2DA20174" w14:textId="5EBBD583" w:rsidR="00F74307" w:rsidRPr="001F6BE7" w:rsidRDefault="00F74307" w:rsidP="00A73B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im Plenum</w:t>
            </w:r>
          </w:p>
        </w:tc>
      </w:tr>
      <w:tr w:rsidR="00F74307" w:rsidRPr="001F6BE7" w14:paraId="22CFCA07" w14:textId="77777777" w:rsidTr="008E62D7">
        <w:tc>
          <w:tcPr>
            <w:tcW w:w="580" w:type="dxa"/>
            <w:shd w:val="clear" w:color="auto" w:fill="auto"/>
          </w:tcPr>
          <w:p w14:paraId="1CA0EC3C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69" w:type="dxa"/>
            <w:shd w:val="clear" w:color="auto" w:fill="007EC2"/>
          </w:tcPr>
          <w:p w14:paraId="64936E8B" w14:textId="37C80617" w:rsidR="00F74307" w:rsidRPr="001F6BE7" w:rsidRDefault="00AB18EF" w:rsidP="00F7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Auftakttask </w:t>
            </w:r>
          </w:p>
        </w:tc>
        <w:tc>
          <w:tcPr>
            <w:tcW w:w="666" w:type="dxa"/>
            <w:shd w:val="clear" w:color="auto" w:fill="76B72A"/>
          </w:tcPr>
          <w:p w14:paraId="0704C5E8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5D290EF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0B30616B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5A15FC1E" w14:textId="4B718F2F" w:rsidR="00F74307" w:rsidRPr="001F6BE7" w:rsidRDefault="002460F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1875F839" w14:textId="5E8EE6BF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00C056B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auto"/>
          </w:tcPr>
          <w:p w14:paraId="6DCB39D7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876D004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7116DF7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58823B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7CAAC431" w14:textId="77777777" w:rsidTr="00C95D27">
        <w:tc>
          <w:tcPr>
            <w:tcW w:w="14280" w:type="dxa"/>
            <w:gridSpan w:val="12"/>
            <w:shd w:val="clear" w:color="auto" w:fill="auto"/>
          </w:tcPr>
          <w:p w14:paraId="18862325" w14:textId="1E23F63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EC225" w14:textId="2A9DE9A6" w:rsidR="00AB18EF" w:rsidRDefault="00C70A7A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F6BE7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2EFD">
              <w:rPr>
                <w:rFonts w:ascii="Arial" w:hAnsi="Arial" w:cs="Arial"/>
                <w:sz w:val="22"/>
                <w:szCs w:val="22"/>
              </w:rPr>
              <w:t xml:space="preserve">erarbeiten </w:t>
            </w:r>
            <w:r w:rsidR="00AB18EF">
              <w:rPr>
                <w:rFonts w:ascii="Arial" w:hAnsi="Arial" w:cs="Arial"/>
                <w:sz w:val="22"/>
                <w:szCs w:val="22"/>
              </w:rPr>
              <w:t xml:space="preserve">die ersten Schritte der Auftakttask zu </w:t>
            </w:r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and </w:t>
            </w:r>
            <w:proofErr w:type="spellStart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>analytics</w:t>
            </w:r>
            <w:proofErr w:type="spellEnd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>. (</w:t>
            </w:r>
            <w:proofErr w:type="spellStart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5, </w:t>
            </w:r>
            <w:proofErr w:type="spellStart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  <w:proofErr w:type="spellEnd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 – </w:t>
            </w:r>
            <w:proofErr w:type="spellStart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  <w:proofErr w:type="spellEnd"/>
            <w:r w:rsidR="00AB18EF" w:rsidRPr="00AB6B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  <w:r w:rsidR="00AB18EF">
              <w:rPr>
                <w:rFonts w:ascii="Arial" w:hAnsi="Arial" w:cs="Arial"/>
                <w:sz w:val="22"/>
                <w:szCs w:val="22"/>
              </w:rPr>
              <w:t>).</w:t>
            </w:r>
            <w:r w:rsidR="007D58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0F0">
              <w:rPr>
                <w:rFonts w:ascii="Arial" w:hAnsi="Arial" w:cs="Arial"/>
                <w:sz w:val="22"/>
                <w:szCs w:val="22"/>
              </w:rPr>
              <w:t>Sie</w:t>
            </w:r>
            <w:r w:rsidR="00626267">
              <w:rPr>
                <w:rFonts w:ascii="Arial" w:hAnsi="Arial" w:cs="Arial"/>
                <w:sz w:val="22"/>
                <w:szCs w:val="22"/>
              </w:rPr>
              <w:t xml:space="preserve"> umreißen das große Spektrum von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data</w:t>
            </w:r>
            <w:proofErr w:type="spellEnd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analytics</w:t>
            </w:r>
            <w:proofErr w:type="spellEnd"/>
            <w:r w:rsidR="00626267">
              <w:rPr>
                <w:rFonts w:ascii="Arial" w:hAnsi="Arial" w:cs="Arial"/>
                <w:sz w:val="22"/>
                <w:szCs w:val="22"/>
              </w:rPr>
              <w:t xml:space="preserve"> und legen </w:t>
            </w:r>
            <w:r w:rsidR="009F0A12">
              <w:rPr>
                <w:rFonts w:ascii="Arial" w:hAnsi="Arial" w:cs="Arial"/>
                <w:sz w:val="22"/>
                <w:szCs w:val="22"/>
              </w:rPr>
              <w:t xml:space="preserve">grundsätzlich </w:t>
            </w:r>
            <w:r w:rsidR="00626267">
              <w:rPr>
                <w:rFonts w:ascii="Arial" w:hAnsi="Arial" w:cs="Arial"/>
                <w:sz w:val="22"/>
                <w:szCs w:val="22"/>
              </w:rPr>
              <w:t>den thematischen Rahmen fest.</w:t>
            </w:r>
          </w:p>
          <w:p w14:paraId="75A862DD" w14:textId="632BAF55" w:rsidR="00626267" w:rsidRDefault="00626267" w:rsidP="00264EC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Schüler informieren sich über das i</w:t>
            </w:r>
            <w:r w:rsidR="009F0A12">
              <w:rPr>
                <w:rFonts w:ascii="Arial" w:hAnsi="Arial" w:cs="Arial"/>
                <w:sz w:val="22"/>
                <w:szCs w:val="22"/>
              </w:rPr>
              <w:t xml:space="preserve">n Kleingruppen </w:t>
            </w:r>
            <w:r>
              <w:rPr>
                <w:rFonts w:ascii="Arial" w:hAnsi="Arial" w:cs="Arial"/>
                <w:sz w:val="22"/>
                <w:szCs w:val="22"/>
              </w:rPr>
              <w:t>zu erstellende Handlungsprodukt (</w:t>
            </w:r>
            <w:r w:rsidR="009A3033">
              <w:rPr>
                <w:rFonts w:ascii="Arial" w:hAnsi="Arial" w:cs="Arial"/>
                <w:sz w:val="22"/>
                <w:szCs w:val="22"/>
              </w:rPr>
              <w:t>Gestaltung eine</w:t>
            </w:r>
            <w:r w:rsidR="009F0A12">
              <w:rPr>
                <w:rFonts w:ascii="Arial" w:hAnsi="Arial" w:cs="Arial"/>
                <w:sz w:val="22"/>
                <w:szCs w:val="22"/>
              </w:rPr>
              <w:t>s Medienpakets mit 2 Print</w:t>
            </w:r>
            <w:r w:rsidR="00C6309E">
              <w:rPr>
                <w:rFonts w:ascii="Arial" w:hAnsi="Arial" w:cs="Arial"/>
                <w:sz w:val="22"/>
                <w:szCs w:val="22"/>
              </w:rPr>
              <w:t>-</w:t>
            </w:r>
            <w:r w:rsidR="009F0A12">
              <w:rPr>
                <w:rFonts w:ascii="Arial" w:hAnsi="Arial" w:cs="Arial"/>
                <w:sz w:val="22"/>
                <w:szCs w:val="22"/>
              </w:rPr>
              <w:t>texten, 1 Video</w:t>
            </w:r>
            <w:r w:rsidR="00B87574">
              <w:rPr>
                <w:rFonts w:ascii="Arial" w:hAnsi="Arial" w:cs="Arial"/>
                <w:sz w:val="22"/>
                <w:szCs w:val="22"/>
              </w:rPr>
              <w:t xml:space="preserve"> oder Podcast</w:t>
            </w:r>
            <w:r w:rsidR="009F0A12">
              <w:rPr>
                <w:rFonts w:ascii="Arial" w:hAnsi="Arial" w:cs="Arial"/>
                <w:sz w:val="22"/>
                <w:szCs w:val="22"/>
              </w:rPr>
              <w:t>) zu Them</w:t>
            </w:r>
            <w:r w:rsidR="001B60F0">
              <w:rPr>
                <w:rFonts w:ascii="Arial" w:hAnsi="Arial" w:cs="Arial"/>
                <w:sz w:val="22"/>
                <w:szCs w:val="22"/>
              </w:rPr>
              <w:t>en</w:t>
            </w:r>
            <w:r w:rsidR="009F0A12">
              <w:rPr>
                <w:rFonts w:ascii="Arial" w:hAnsi="Arial" w:cs="Arial"/>
                <w:sz w:val="22"/>
                <w:szCs w:val="22"/>
              </w:rPr>
              <w:t xml:space="preserve"> ihrer Wahl im Themenfeld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data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analytics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1A21E06E" w14:textId="77777777" w:rsidR="00664333" w:rsidRDefault="00626267" w:rsidP="00476EF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Schüler finden </w:t>
            </w:r>
            <w:r w:rsidR="00476EF2">
              <w:rPr>
                <w:rFonts w:ascii="Arial" w:hAnsi="Arial" w:cs="Arial"/>
                <w:sz w:val="22"/>
                <w:szCs w:val="22"/>
              </w:rPr>
              <w:t xml:space="preserve">in ihrer Kleingruppe </w:t>
            </w:r>
            <w:r>
              <w:rPr>
                <w:rFonts w:ascii="Arial" w:hAnsi="Arial" w:cs="Arial"/>
                <w:sz w:val="22"/>
                <w:szCs w:val="22"/>
              </w:rPr>
              <w:t xml:space="preserve">einen festen Tandempartner. </w:t>
            </w:r>
          </w:p>
          <w:p w14:paraId="6348D89C" w14:textId="0C93B8B6" w:rsidR="00476EF2" w:rsidRPr="001F6BE7" w:rsidRDefault="00476EF2" w:rsidP="00476EF2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788B75B6" w14:textId="77777777" w:rsidTr="008E62D7">
        <w:tc>
          <w:tcPr>
            <w:tcW w:w="580" w:type="dxa"/>
            <w:shd w:val="clear" w:color="auto" w:fill="auto"/>
          </w:tcPr>
          <w:p w14:paraId="3E357EBE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69" w:type="dxa"/>
            <w:shd w:val="clear" w:color="auto" w:fill="007EC2"/>
          </w:tcPr>
          <w:p w14:paraId="254C0B14" w14:textId="20ABAC49" w:rsidR="00F74307" w:rsidRPr="001F6BE7" w:rsidRDefault="00626267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individuell</w:t>
            </w:r>
            <w:r w:rsidR="007D5668">
              <w:rPr>
                <w:rFonts w:ascii="Arial" w:hAnsi="Arial" w:cs="Arial"/>
                <w:sz w:val="22"/>
                <w:szCs w:val="22"/>
              </w:rPr>
              <w:t>, Austa</w:t>
            </w:r>
            <w:r w:rsidR="00476EF2">
              <w:rPr>
                <w:rFonts w:ascii="Arial" w:hAnsi="Arial" w:cs="Arial"/>
                <w:sz w:val="22"/>
                <w:szCs w:val="22"/>
              </w:rPr>
              <w:t>u</w:t>
            </w:r>
            <w:r w:rsidR="007D5668">
              <w:rPr>
                <w:rFonts w:ascii="Arial" w:hAnsi="Arial" w:cs="Arial"/>
                <w:sz w:val="22"/>
                <w:szCs w:val="22"/>
              </w:rPr>
              <w:t>sch Lerntandem</w:t>
            </w:r>
          </w:p>
        </w:tc>
        <w:tc>
          <w:tcPr>
            <w:tcW w:w="666" w:type="dxa"/>
            <w:shd w:val="clear" w:color="auto" w:fill="auto"/>
          </w:tcPr>
          <w:p w14:paraId="7151BFC0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68361F82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7F63BAAE" w14:textId="20A5A590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FFD9A1A" w14:textId="70354916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F0D98B6" w14:textId="011786BE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7A8399C" w14:textId="413A3254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BB6F80D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556F785" w14:textId="3DDD84E9" w:rsidR="00F74307" w:rsidRPr="001F6BE7" w:rsidRDefault="007D5668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DDDC00"/>
          </w:tcPr>
          <w:p w14:paraId="34627944" w14:textId="336817AE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40D2F84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D74" w:rsidRPr="001F6BE7" w14:paraId="2B7AB074" w14:textId="77777777" w:rsidTr="00C95D27">
        <w:tc>
          <w:tcPr>
            <w:tcW w:w="14280" w:type="dxa"/>
            <w:gridSpan w:val="12"/>
            <w:shd w:val="clear" w:color="auto" w:fill="auto"/>
          </w:tcPr>
          <w:p w14:paraId="192FB09E" w14:textId="4649660D" w:rsidR="002C1D74" w:rsidRPr="001F6BE7" w:rsidRDefault="002C1D74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0EF7E" w14:textId="3CDB1A1E" w:rsidR="00626267" w:rsidRDefault="003A67ED" w:rsidP="003A67E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53646962"/>
            <w:r w:rsidRPr="001B60F0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Pr="001B60F0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Pr="001B60F0">
              <w:rPr>
                <w:rFonts w:ascii="Arial" w:hAnsi="Arial" w:cs="Arial"/>
                <w:sz w:val="22"/>
                <w:szCs w:val="22"/>
              </w:rPr>
              <w:t xml:space="preserve"> er</w:t>
            </w:r>
            <w:r w:rsidR="00626267" w:rsidRPr="001B60F0">
              <w:rPr>
                <w:rFonts w:ascii="Arial" w:hAnsi="Arial" w:cs="Arial"/>
                <w:sz w:val="22"/>
                <w:szCs w:val="22"/>
              </w:rPr>
              <w:t xml:space="preserve">arbeiten alleine den </w:t>
            </w:r>
            <w:r w:rsidR="007D5668" w:rsidRPr="001B60F0">
              <w:rPr>
                <w:rFonts w:ascii="Arial" w:hAnsi="Arial" w:cs="Arial"/>
                <w:sz w:val="22"/>
                <w:szCs w:val="22"/>
              </w:rPr>
              <w:t>Auftaktt</w:t>
            </w:r>
            <w:r w:rsidR="00626267" w:rsidRPr="001B60F0">
              <w:rPr>
                <w:rFonts w:ascii="Arial" w:hAnsi="Arial" w:cs="Arial"/>
                <w:sz w:val="22"/>
                <w:szCs w:val="22"/>
              </w:rPr>
              <w:t>ext</w:t>
            </w:r>
            <w:r w:rsidR="007D5668" w:rsidRPr="001B60F0">
              <w:rPr>
                <w:rFonts w:ascii="Arial" w:hAnsi="Arial" w:cs="Arial"/>
                <w:sz w:val="22"/>
                <w:szCs w:val="22"/>
              </w:rPr>
              <w:t xml:space="preserve"> der Topic</w:t>
            </w:r>
            <w:r w:rsidR="00626267" w:rsidRPr="001B6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EF2" w:rsidRPr="001B60F0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text</w:t>
            </w:r>
            <w:proofErr w:type="spellEnd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workshop</w:t>
            </w:r>
            <w:proofErr w:type="spellEnd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A, Data </w:t>
            </w:r>
            <w:proofErr w:type="spellStart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  <w:proofErr w:type="spellEnd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the</w:t>
            </w:r>
            <w:proofErr w:type="spellEnd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people</w:t>
            </w:r>
            <w:proofErr w:type="spellEnd"/>
            <w:r w:rsidR="00626267" w:rsidRPr="001B60F0">
              <w:rPr>
                <w:rFonts w:ascii="Arial" w:hAnsi="Arial" w:cs="Arial"/>
                <w:b/>
                <w:bCs/>
                <w:sz w:val="22"/>
                <w:szCs w:val="22"/>
              </w:rPr>
              <w:t>).</w:t>
            </w:r>
            <w:r w:rsidR="00626267" w:rsidRPr="001B6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6267" w:rsidRPr="00626267">
              <w:rPr>
                <w:rFonts w:ascii="Arial" w:hAnsi="Arial" w:cs="Arial"/>
                <w:sz w:val="22"/>
                <w:szCs w:val="22"/>
              </w:rPr>
              <w:t xml:space="preserve">Sie erarbeiten </w:t>
            </w:r>
            <w:r w:rsidR="00626267">
              <w:rPr>
                <w:rFonts w:ascii="Arial" w:hAnsi="Arial" w:cs="Arial"/>
                <w:sz w:val="22"/>
                <w:szCs w:val="22"/>
              </w:rPr>
              <w:t xml:space="preserve">die Aufgaben zu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reading</w:t>
            </w:r>
            <w:proofErr w:type="spellEnd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gist</w:t>
            </w:r>
            <w:proofErr w:type="spellEnd"/>
            <w:r w:rsidR="00626267"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reading</w:t>
            </w:r>
            <w:proofErr w:type="spellEnd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26267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detail</w:t>
            </w:r>
            <w:proofErr w:type="spellEnd"/>
            <w:r w:rsidR="00626267">
              <w:rPr>
                <w:rFonts w:ascii="Arial" w:hAnsi="Arial" w:cs="Arial"/>
                <w:sz w:val="22"/>
                <w:szCs w:val="22"/>
              </w:rPr>
              <w:t xml:space="preserve"> und machen sich Notizen.</w:t>
            </w:r>
          </w:p>
          <w:p w14:paraId="5750EB74" w14:textId="785E1A15" w:rsidR="00C95D27" w:rsidRDefault="007D5668" w:rsidP="007D566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einer kurzen Videobesprechung gleichen sie die Antworten mit den Ergebnissen der Tandempartner ab.</w:t>
            </w:r>
            <w:bookmarkEnd w:id="0"/>
          </w:p>
          <w:p w14:paraId="5FAA8344" w14:textId="567EBE21" w:rsidR="007D5668" w:rsidRPr="001F6BE7" w:rsidRDefault="007D5668" w:rsidP="007D566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0662" w:rsidRPr="001F6BE7" w14:paraId="1A209CA7" w14:textId="77777777" w:rsidTr="008E62D7">
        <w:tc>
          <w:tcPr>
            <w:tcW w:w="580" w:type="dxa"/>
            <w:shd w:val="clear" w:color="auto" w:fill="auto"/>
          </w:tcPr>
          <w:p w14:paraId="1CD0296F" w14:textId="77777777" w:rsidR="00BA0662" w:rsidRPr="001F6BE7" w:rsidRDefault="00090496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69" w:type="dxa"/>
            <w:shd w:val="clear" w:color="auto" w:fill="007EC2"/>
          </w:tcPr>
          <w:p w14:paraId="78D25240" w14:textId="1A3C1785" w:rsidR="00BA0662" w:rsidRPr="001F6BE7" w:rsidRDefault="00626267" w:rsidP="008E62D7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Textarbeit im Lerntandem</w:t>
            </w:r>
          </w:p>
        </w:tc>
        <w:tc>
          <w:tcPr>
            <w:tcW w:w="666" w:type="dxa"/>
            <w:shd w:val="clear" w:color="auto" w:fill="auto"/>
          </w:tcPr>
          <w:p w14:paraId="37AA53AB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1C5888B0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0B8078F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5AAC877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7D50EB6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33A21DFB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D64F30F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54CD6E39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6" w:type="dxa"/>
            <w:shd w:val="clear" w:color="auto" w:fill="DDDC00"/>
          </w:tcPr>
          <w:p w14:paraId="680A7093" w14:textId="65AFFA4B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738D9882" w14:textId="77777777" w:rsidR="00BA0662" w:rsidRPr="001F6BE7" w:rsidRDefault="00BA0662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B55" w:rsidRPr="001F6BE7" w14:paraId="2895620C" w14:textId="77777777" w:rsidTr="002D5E0F">
        <w:tc>
          <w:tcPr>
            <w:tcW w:w="14280" w:type="dxa"/>
            <w:gridSpan w:val="12"/>
            <w:shd w:val="clear" w:color="auto" w:fill="auto"/>
          </w:tcPr>
          <w:p w14:paraId="77500A2E" w14:textId="54A37D19" w:rsidR="00AB6B55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6F7AD" w14:textId="77777777" w:rsidR="00AB6B55" w:rsidRPr="00B87574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87574">
              <w:rPr>
                <w:rFonts w:ascii="Arial" w:hAnsi="Arial" w:cs="Arial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B87574">
              <w:rPr>
                <w:rFonts w:ascii="Arial" w:hAnsi="Arial" w:cs="Arial"/>
                <w:sz w:val="22"/>
                <w:szCs w:val="22"/>
                <w:lang w:val="en-US"/>
              </w:rPr>
              <w:t>SuS</w:t>
            </w:r>
            <w:proofErr w:type="spellEnd"/>
            <w:r w:rsidRPr="00B87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7574">
              <w:rPr>
                <w:rFonts w:ascii="Arial" w:hAnsi="Arial" w:cs="Arial"/>
                <w:sz w:val="22"/>
                <w:szCs w:val="22"/>
                <w:lang w:val="en-US"/>
              </w:rPr>
              <w:t>bearbeiten</w:t>
            </w:r>
            <w:proofErr w:type="spellEnd"/>
            <w:r w:rsidRPr="00B87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AB6B5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skills file S3 reading skills.</w:t>
            </w:r>
            <w:r w:rsidRPr="00B8757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68887612" w14:textId="24444B5D" w:rsidR="00AB6B55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recherchieren für ihren Tandempartner zwei nicht-fiktionale</w:t>
            </w:r>
            <w:r w:rsidR="000F7E8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aktuelle Texte zu ihrem Wahlthema. Sie beschreiben die Texte jeweils mit wenigen Schlagworten. </w:t>
            </w:r>
          </w:p>
          <w:p w14:paraId="562682A7" w14:textId="3E67A9D4" w:rsidR="00AB6B55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stellen </w:t>
            </w:r>
            <w:r w:rsidR="000F7E86">
              <w:rPr>
                <w:rFonts w:ascii="Arial" w:hAnsi="Arial" w:cs="Arial"/>
                <w:sz w:val="22"/>
                <w:szCs w:val="22"/>
              </w:rPr>
              <w:t>dem</w:t>
            </w:r>
            <w:r>
              <w:rPr>
                <w:rFonts w:ascii="Arial" w:hAnsi="Arial" w:cs="Arial"/>
                <w:sz w:val="22"/>
                <w:szCs w:val="22"/>
              </w:rPr>
              <w:t xml:space="preserve"> Tandempartner die </w:t>
            </w:r>
            <w:r w:rsidR="000F7E86">
              <w:rPr>
                <w:rFonts w:ascii="Arial" w:hAnsi="Arial" w:cs="Arial"/>
                <w:sz w:val="22"/>
                <w:szCs w:val="22"/>
              </w:rPr>
              <w:t>zwei</w:t>
            </w:r>
            <w:r>
              <w:rPr>
                <w:rFonts w:ascii="Arial" w:hAnsi="Arial" w:cs="Arial"/>
                <w:sz w:val="22"/>
                <w:szCs w:val="22"/>
              </w:rPr>
              <w:t xml:space="preserve"> Texte vor. Der Tandempartner entscheidet sich nach einem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reading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gist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für einen der Texte. </w:t>
            </w:r>
          </w:p>
          <w:p w14:paraId="1E6F3303" w14:textId="456350D1" w:rsidR="00AB6B55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Für den gewählten Text verfasst der Tandempartner </w:t>
            </w:r>
            <w:r w:rsidR="000F7E86">
              <w:rPr>
                <w:rFonts w:ascii="Arial" w:hAnsi="Arial" w:cs="Arial"/>
                <w:sz w:val="22"/>
                <w:szCs w:val="22"/>
              </w:rPr>
              <w:t xml:space="preserve">je </w:t>
            </w:r>
            <w:r>
              <w:rPr>
                <w:rFonts w:ascii="Arial" w:hAnsi="Arial" w:cs="Arial"/>
                <w:sz w:val="22"/>
                <w:szCs w:val="22"/>
              </w:rPr>
              <w:t xml:space="preserve">2 Aufgaben zu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reading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gist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reading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detail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0301A0" w14:textId="0833E243" w:rsidR="00AB6B55" w:rsidRDefault="00AB6B55" w:rsidP="00A73BC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Diese Aufgaben werden stichpunktartig vom Lernpartner bearbeitet.</w:t>
            </w:r>
          </w:p>
          <w:p w14:paraId="44FB6311" w14:textId="77777777" w:rsidR="00AB6B55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6952B" w14:textId="0B408357" w:rsidR="00E3257A" w:rsidRPr="001F6BE7" w:rsidRDefault="00E3257A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B55" w:rsidRPr="001F6BE7" w14:paraId="194A6BFA" w14:textId="77777777" w:rsidTr="002742B0">
        <w:tc>
          <w:tcPr>
            <w:tcW w:w="580" w:type="dxa"/>
            <w:shd w:val="clear" w:color="auto" w:fill="auto"/>
          </w:tcPr>
          <w:p w14:paraId="57F1DAC0" w14:textId="32DA031E" w:rsidR="00AB6B55" w:rsidRPr="001F6BE7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69" w:type="dxa"/>
            <w:shd w:val="clear" w:color="auto" w:fill="007EC2"/>
          </w:tcPr>
          <w:p w14:paraId="7461CF30" w14:textId="0E204CED" w:rsidR="00AB6B55" w:rsidRDefault="00AB6B55" w:rsidP="008E62D7">
            <w:pPr>
              <w:shd w:val="clear" w:color="auto" w:fill="007EC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Rezeption Video</w:t>
            </w:r>
          </w:p>
        </w:tc>
        <w:tc>
          <w:tcPr>
            <w:tcW w:w="666" w:type="dxa"/>
            <w:shd w:val="clear" w:color="auto" w:fill="92D050"/>
          </w:tcPr>
          <w:p w14:paraId="675663AA" w14:textId="43F60E2C" w:rsidR="00AB6B55" w:rsidRPr="002742B0" w:rsidRDefault="002742B0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783A5B14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202" w:type="dxa"/>
            <w:shd w:val="clear" w:color="auto" w:fill="92D050"/>
          </w:tcPr>
          <w:p w14:paraId="71C504CD" w14:textId="627D8D88" w:rsidR="00AB6B55" w:rsidRPr="002742B0" w:rsidRDefault="002742B0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92D050"/>
          </w:tcPr>
          <w:p w14:paraId="2E56141A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203" w:type="dxa"/>
            <w:shd w:val="clear" w:color="auto" w:fill="92D050"/>
          </w:tcPr>
          <w:p w14:paraId="374DE504" w14:textId="05AB93CB" w:rsidR="00AB6B55" w:rsidRPr="002742B0" w:rsidRDefault="002742B0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92D050"/>
          </w:tcPr>
          <w:p w14:paraId="42578D70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33D9EA5D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4A00C21C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1A237B39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5E3B0562" w14:textId="77777777" w:rsidR="00AB6B55" w:rsidRPr="002742B0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E9C" w:rsidRPr="002742B0" w14:paraId="1B625D35" w14:textId="77777777" w:rsidTr="00D13E05">
        <w:tc>
          <w:tcPr>
            <w:tcW w:w="14280" w:type="dxa"/>
            <w:gridSpan w:val="12"/>
            <w:shd w:val="clear" w:color="auto" w:fill="auto"/>
          </w:tcPr>
          <w:p w14:paraId="6EB96613" w14:textId="3A4F9469" w:rsidR="00495B5F" w:rsidRPr="004636E7" w:rsidRDefault="00495B5F" w:rsidP="004636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7D741" w14:textId="3F72638D" w:rsidR="00AB6B55" w:rsidRPr="002742B0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742B0">
              <w:rPr>
                <w:rFonts w:ascii="Arial" w:hAnsi="Arial" w:cs="Arial"/>
                <w:sz w:val="22"/>
                <w:szCs w:val="22"/>
              </w:rPr>
              <w:t xml:space="preserve">Die Schülerinnen und Schüler sehen das Video </w:t>
            </w:r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Big </w:t>
            </w:r>
            <w:proofErr w:type="spellStart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  <w:proofErr w:type="spellEnd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why</w:t>
            </w:r>
            <w:proofErr w:type="spellEnd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should</w:t>
            </w:r>
            <w:proofErr w:type="spellEnd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you</w:t>
            </w:r>
            <w:proofErr w:type="spellEnd"/>
            <w:r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care</w:t>
            </w:r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(a </w:t>
            </w:r>
            <w:proofErr w:type="spellStart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step</w:t>
            </w:r>
            <w:proofErr w:type="spellEnd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further</w:t>
            </w:r>
            <w:proofErr w:type="spellEnd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working</w:t>
            </w:r>
            <w:proofErr w:type="spellEnd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with</w:t>
            </w:r>
            <w:proofErr w:type="spellEnd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video</w:t>
            </w:r>
            <w:proofErr w:type="spellEnd"/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2742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2B0" w:rsidRPr="002742B0">
              <w:rPr>
                <w:rFonts w:ascii="Arial" w:hAnsi="Arial" w:cs="Arial"/>
                <w:sz w:val="22"/>
                <w:szCs w:val="22"/>
              </w:rPr>
              <w:t>und bearbeiten in Kleing</w:t>
            </w:r>
            <w:r w:rsidR="002742B0">
              <w:rPr>
                <w:rFonts w:ascii="Arial" w:hAnsi="Arial" w:cs="Arial"/>
                <w:sz w:val="22"/>
                <w:szCs w:val="22"/>
              </w:rPr>
              <w:t xml:space="preserve">ruppen </w:t>
            </w:r>
            <w:r w:rsidR="002742B0" w:rsidRPr="002742B0">
              <w:rPr>
                <w:rFonts w:ascii="Arial" w:hAnsi="Arial" w:cs="Arial"/>
                <w:b/>
                <w:bCs/>
                <w:sz w:val="22"/>
                <w:szCs w:val="22"/>
              </w:rPr>
              <w:t>Aufgaben 6a – d</w:t>
            </w:r>
            <w:r w:rsidR="002742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43C17B" w14:textId="163707ED" w:rsidR="00AB6B55" w:rsidRPr="002742B0" w:rsidRDefault="00AB6B55" w:rsidP="00AB6B55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E9C" w:rsidRPr="001F6BE7" w14:paraId="6C7ADAB0" w14:textId="77777777" w:rsidTr="008E62D7">
        <w:tc>
          <w:tcPr>
            <w:tcW w:w="580" w:type="dxa"/>
            <w:shd w:val="clear" w:color="auto" w:fill="auto"/>
          </w:tcPr>
          <w:p w14:paraId="5E0854B8" w14:textId="5943BA10" w:rsidR="00217E9C" w:rsidRDefault="00DA35B0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79E85B5" w14:textId="05DF2E85" w:rsidR="00AB6B55" w:rsidRPr="001F6BE7" w:rsidRDefault="00AB6B55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007EC2"/>
          </w:tcPr>
          <w:p w14:paraId="077C473A" w14:textId="148FAB27" w:rsidR="00217E9C" w:rsidRPr="00AB6B55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AB6B55">
              <w:rPr>
                <w:rFonts w:ascii="Arial" w:hAnsi="Arial" w:cs="Arial"/>
                <w:sz w:val="22"/>
                <w:szCs w:val="22"/>
              </w:rPr>
              <w:t>E</w:t>
            </w:r>
            <w:r w:rsidR="003831DD" w:rsidRPr="00AB6B55">
              <w:rPr>
                <w:rFonts w:ascii="Arial" w:hAnsi="Arial" w:cs="Arial"/>
                <w:sz w:val="22"/>
                <w:szCs w:val="22"/>
              </w:rPr>
              <w:t xml:space="preserve">inzelarbeit, </w:t>
            </w:r>
            <w:r w:rsidR="000F7E86">
              <w:rPr>
                <w:rFonts w:ascii="Arial" w:hAnsi="Arial" w:cs="Arial"/>
                <w:sz w:val="22"/>
                <w:szCs w:val="22"/>
              </w:rPr>
              <w:t>Hör-Sehverstehen</w:t>
            </w:r>
            <w:r w:rsidR="00AB6B5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831DD" w:rsidRPr="00AB6B55">
              <w:rPr>
                <w:rFonts w:ascii="Arial" w:hAnsi="Arial" w:cs="Arial"/>
                <w:sz w:val="22"/>
                <w:szCs w:val="22"/>
              </w:rPr>
              <w:t>Austausch</w:t>
            </w:r>
          </w:p>
        </w:tc>
        <w:tc>
          <w:tcPr>
            <w:tcW w:w="666" w:type="dxa"/>
            <w:shd w:val="clear" w:color="auto" w:fill="auto"/>
          </w:tcPr>
          <w:p w14:paraId="45C520B6" w14:textId="77777777" w:rsidR="00217E9C" w:rsidRPr="00AB6B55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3684B923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1CBF5772" w14:textId="03054CFD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738A812F" w14:textId="327BBCB6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38AE0F0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21E40A37" w14:textId="3347D424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4468AE35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7EEFF301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564A5FB4" w14:textId="77777777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7E465D6B" w14:textId="1B7DE7CD" w:rsidR="00217E9C" w:rsidRPr="001F6BE7" w:rsidRDefault="00217E9C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E7" w:rsidRPr="001F6BE7" w14:paraId="3F6AE707" w14:textId="77777777" w:rsidTr="00184785">
        <w:tc>
          <w:tcPr>
            <w:tcW w:w="14280" w:type="dxa"/>
            <w:gridSpan w:val="12"/>
            <w:shd w:val="clear" w:color="auto" w:fill="auto"/>
          </w:tcPr>
          <w:p w14:paraId="767BF148" w14:textId="4BE6BBCC" w:rsidR="004636E7" w:rsidRDefault="004636E7" w:rsidP="004636E7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4724DFB6" w14:textId="5FA71DD3" w:rsidR="003831DD" w:rsidRDefault="003831DD" w:rsidP="003831D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recherchieren für ihren Tandempartner zwei Videos/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podcasts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zu ihrem Wahlthema. Sie beschreiben die Videos/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podcasts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jeweils mit wenigen Schlagworten. </w:t>
            </w:r>
          </w:p>
          <w:p w14:paraId="1D2CA4E5" w14:textId="66400643" w:rsidR="00AB6B55" w:rsidRDefault="003831DD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 stellen ihrem Tandempartner die beiden Videos/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podcasts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vor. Der Tandempartner entscheidet sich nach einem </w:t>
            </w:r>
            <w:proofErr w:type="spellStart"/>
            <w:r w:rsidR="00AB6B55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listening</w:t>
            </w:r>
            <w:proofErr w:type="spellEnd"/>
            <w:r w:rsidR="00AB6B55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="00AB6B55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watching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gist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für ein</w:t>
            </w:r>
            <w:r w:rsidR="00265DAB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der zwei Videos/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podcasts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46B0B64" w14:textId="2AFF7F92" w:rsidR="004636E7" w:rsidRPr="00AB6B55" w:rsidRDefault="003831DD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B6B55">
              <w:rPr>
                <w:rFonts w:ascii="Arial" w:hAnsi="Arial" w:cs="Arial"/>
                <w:sz w:val="22"/>
                <w:szCs w:val="22"/>
              </w:rPr>
              <w:t xml:space="preserve">Für das gewählte Video/podcast verfasst der Tandempartner 2 Aufgaben zu </w:t>
            </w:r>
            <w:proofErr w:type="spellStart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listening</w:t>
            </w:r>
            <w:proofErr w:type="spellEnd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watching</w:t>
            </w:r>
            <w:proofErr w:type="spellEnd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gist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265DAB">
              <w:rPr>
                <w:rFonts w:ascii="Arial" w:hAnsi="Arial" w:cs="Arial"/>
                <w:sz w:val="22"/>
                <w:szCs w:val="22"/>
              </w:rPr>
              <w:t>und</w:t>
            </w:r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listening</w:t>
            </w:r>
            <w:proofErr w:type="spellEnd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/</w:t>
            </w:r>
            <w:proofErr w:type="spellStart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watching</w:t>
            </w:r>
            <w:proofErr w:type="spellEnd"/>
            <w:r w:rsidR="00265DAB"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for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detail</w:t>
            </w:r>
            <w:proofErr w:type="spellEnd"/>
            <w:r w:rsidRPr="00265DAB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Pr="00AB6B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97ADCD" w14:textId="77777777" w:rsidR="00AB6B55" w:rsidRDefault="00AB6B5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Diese Aufgaben werden stichpunktartig vom Lernpartner bearbeitet.</w:t>
            </w:r>
          </w:p>
          <w:p w14:paraId="04976784" w14:textId="5A22CEF9" w:rsidR="003831DD" w:rsidRPr="00DA35B0" w:rsidRDefault="003831DD" w:rsidP="00DA35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6E7" w:rsidRPr="001F6BE7" w14:paraId="73B9FF96" w14:textId="77777777" w:rsidTr="008E62D7">
        <w:tc>
          <w:tcPr>
            <w:tcW w:w="580" w:type="dxa"/>
            <w:shd w:val="clear" w:color="auto" w:fill="auto"/>
          </w:tcPr>
          <w:p w14:paraId="3FBAD131" w14:textId="7EDB2A23" w:rsidR="004636E7" w:rsidRPr="001F6BE7" w:rsidRDefault="00DA35B0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69" w:type="dxa"/>
            <w:shd w:val="clear" w:color="auto" w:fill="007EC2"/>
          </w:tcPr>
          <w:p w14:paraId="7CF826CE" w14:textId="74DA9DF0" w:rsidR="00AB6B55" w:rsidRPr="00AB6B55" w:rsidRDefault="003831DD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AB6B55">
              <w:rPr>
                <w:rFonts w:ascii="Arial" w:hAnsi="Arial" w:cs="Arial"/>
                <w:sz w:val="22"/>
                <w:szCs w:val="22"/>
              </w:rPr>
              <w:t>Hör-, Sehverstehen i</w:t>
            </w:r>
            <w:r w:rsidR="00AB6B55" w:rsidRPr="00AB6B55">
              <w:rPr>
                <w:rFonts w:ascii="Arial" w:hAnsi="Arial" w:cs="Arial"/>
                <w:sz w:val="22"/>
                <w:szCs w:val="22"/>
              </w:rPr>
              <w:t xml:space="preserve">n Kleingruppe, </w:t>
            </w:r>
            <w:r w:rsidR="000F7E86">
              <w:rPr>
                <w:rFonts w:ascii="Arial" w:hAnsi="Arial" w:cs="Arial"/>
                <w:sz w:val="22"/>
                <w:szCs w:val="22"/>
              </w:rPr>
              <w:t xml:space="preserve">Leseverstehen </w:t>
            </w:r>
            <w:r w:rsidR="00AB6B55" w:rsidRPr="00AB6B55">
              <w:rPr>
                <w:rFonts w:ascii="Arial" w:hAnsi="Arial" w:cs="Arial"/>
                <w:sz w:val="22"/>
                <w:szCs w:val="22"/>
              </w:rPr>
              <w:t>in Kleingruppe</w:t>
            </w:r>
          </w:p>
        </w:tc>
        <w:tc>
          <w:tcPr>
            <w:tcW w:w="666" w:type="dxa"/>
            <w:shd w:val="clear" w:color="auto" w:fill="auto"/>
          </w:tcPr>
          <w:p w14:paraId="56F59D27" w14:textId="77777777" w:rsidR="004636E7" w:rsidRPr="00AB6B55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DDDC00"/>
          </w:tcPr>
          <w:p w14:paraId="279AC5CC" w14:textId="06C73362" w:rsidR="004636E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2" w:type="dxa"/>
            <w:shd w:val="clear" w:color="auto" w:fill="auto"/>
          </w:tcPr>
          <w:p w14:paraId="77A2FAC6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427B6BB3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13DF8FEA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14:paraId="02A0CE57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E189A46" w14:textId="230AD852" w:rsidR="004636E7" w:rsidRPr="001F6BE7" w:rsidRDefault="004B6E8B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7" w:type="dxa"/>
            <w:shd w:val="clear" w:color="auto" w:fill="DDDC00"/>
          </w:tcPr>
          <w:p w14:paraId="40E351E3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DDC00"/>
          </w:tcPr>
          <w:p w14:paraId="6BC955F1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DDDC00"/>
          </w:tcPr>
          <w:p w14:paraId="25F2EEA5" w14:textId="77777777" w:rsidR="004636E7" w:rsidRPr="001F6BE7" w:rsidRDefault="004636E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1E1F3EF1" w14:textId="77777777" w:rsidTr="00C95D27">
        <w:tc>
          <w:tcPr>
            <w:tcW w:w="14280" w:type="dxa"/>
            <w:gridSpan w:val="12"/>
            <w:shd w:val="clear" w:color="auto" w:fill="auto"/>
          </w:tcPr>
          <w:p w14:paraId="402485DA" w14:textId="3CCA9BCC" w:rsidR="00A82E28" w:rsidRPr="001F6BE7" w:rsidRDefault="00A82E28" w:rsidP="00A82E2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595A0E06" w14:textId="4300566A" w:rsidR="003548C8" w:rsidRDefault="009E1665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 wp14:anchorId="44E0266F" wp14:editId="0E275822">
                      <wp:simplePos x="0" y="0"/>
                      <wp:positionH relativeFrom="column">
                        <wp:posOffset>6569730</wp:posOffset>
                      </wp:positionH>
                      <wp:positionV relativeFrom="paragraph">
                        <wp:posOffset>211825</wp:posOffset>
                      </wp:positionV>
                      <wp:extent cx="29160" cy="22320"/>
                      <wp:effectExtent l="25400" t="38100" r="22225" b="28575"/>
                      <wp:wrapNone/>
                      <wp:docPr id="33" name="Freihand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22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833411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33" o:spid="_x0000_s1026" type="#_x0000_t75" style="position:absolute;margin-left:516.7pt;margin-top:16.1pt;width:3.55pt;height:2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dhw2NAQAAMQMAAA4AAABkcnMvZTJvRG9jLnhtbJxSwU7rMBC8P4l/&#10;sPZO06S0r0RNOVAhcQB6eHyAcezGIvZGa7cpf88mbV4LCCFxibw7znhmZxc3e1eLnaZg0ReQjsYg&#10;tFdYWr8p4Pnf3eUcRIjSl7JGrwt40wFulhd/Fm2T6wwrrEtNgkl8yNumgCrGJk+SoCrtZBhhoz2D&#10;BsnJyCVtkpJky+yuTrLxeJa0SGVDqHQI3F0dQFj2/MZoFZ+MCTqKuoC/0xnLi8OBCpinV1MQL9yZ&#10;TaeQLBcy35BsKquOkuQvFDlpPQv4T7WSUYot2S9UzirCgCaOFLoEjbFK937YWTr+5Ozev3au0iu1&#10;pVyhj9rHtaQ4zK4HfvOEq3kC7QOWnI7cRoQjI4/n5zAOoleoto71HBIhXcvI6xAq2wQQlNuyALov&#10;05N+v7s9OVjTydfjbk2iuz+ZgPDSsaY70rbiBRLc4oSGCTx+pGAkOULfke8NuS4W1iz2BfAqvHXf&#10;PnW9j0JxM7tOux1RjGTZJOvRgffw/1CdRcBPfwj7vO5knW368h0AAP//AwBQSwMEFAAGAAgAAAAh&#10;AMDC07gAAgAA5gQAABAAAABkcnMvaW5rL2luazEueG1stFNLb9swDL4P6H8g1EMufkiyEydGnZ4a&#10;YMAGDG0HbEfXVmOhthTIyuvfj37EcVH3Mmw+yBIlfiQ/fry7P1UlHISppVYJYR4lIFSmc6m2Cfn5&#10;vHGXBGqbqjwttRIJOYua3K9vvtxJ9VaVMa6ACKpudlWZkMLaXez7x+PROwaeNlufUxr4X9Xb929k&#10;3Xvl4lUqaTFkfTFlWllxsg1YLPOEZPZEh/eI/aT3JhPDdWMx2fWFNWkmNtpUqR0Qi1QpUYJKK8z7&#10;FwF73uFGYpytMAQqiQW73GNhFC4fVmhITwkZnfeYYo2ZVMSfxvz9HzA3HzGbtAIeLSICfUq5ODQ5&#10;+S3n8ee1/zB6J4yV4kpzR0p/cYasO7f8dEQZUety3/SGwCEt90gZoxRl0cdm/gQhH/GQm3+Kh7x8&#10;ijdO7j01fXljHnrSBkldWmtlJVDo1W7QmK0RuDE/WdOOA6ecuoy6nD3TVcx5HEQe2kat6FV8wXwx&#10;+7oY8F7MVa/tzcBaV9lR5rYYSKceDfkCZTkhwynvQshtYf/aPdOlxqHoO34btN+osjbkILmJAW5V&#10;CD0Bj+I1IbftDEPr2RlaBtgKFgyWNODOzI1mLuMz6hBOGGFs7lAIgOM/cAN3vgwdDiEwJwIG1JkD&#10;dxm+4MDnocPwT50QFrjiDui7eRhSxUav/wAAAP//AwBQSwMEFAAGAAgAAAAhAOtSJLnkAAAAEAEA&#10;AA8AAABkcnMvZG93bnJldi54bWxMT01Lw0AQvQv+h2UEL2J3m7RS0mxKVYpgRbCK4G2bHZNgdjZk&#10;t036752e9DLwZt68j3w1ulYcsQ+NJw3TiQKBVHrbUKXh431zuwARoiFrWk+o4YQBVsXlRW4y6wd6&#10;w+MuVoJFKGRGQx1jl0kZyhqdCRPfIfHt2/fORIZ9JW1vBhZ3rUyUupPONMQOtenwocbyZ3dwGpJw&#10;Y5uX+fCl1vhcbT63zdP960nr66vxccljvQQRcYx/H3DuwPmh4GB7fyAbRMtYpemMuRrSJAFxZqiZ&#10;moPY82YxBVnk8n+R4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e3YcNjQEAADEDAAAOAAAAAAAAAAAAAAAAADwCAABkcnMvZTJvRG9jLnhtbFBLAQItABQA&#10;BgAIAAAAIQDAwtO4AAIAAOYEAAAQAAAAAAAAAAAAAAAAAPUDAABkcnMvaW5rL2luazEueG1sUEsB&#10;Ai0AFAAGAAgAAAAhAOtSJLnkAAAAEAEAAA8AAAAAAAAAAAAAAAAAIwYAAGRycy9kb3ducmV2Lnht&#10;bFBLAQItABQABgAIAAAAIQB5GLydvwAAACEBAAAZAAAAAAAAAAAAAAAAADQHAABkcnMvX3JlbHMv&#10;ZTJvRG9jLnhtbC5yZWxzUEsFBgAAAAAGAAYAeAEAACoIAAAAAA==&#10;">
                      <v:imagedata r:id="rId10" o:title=""/>
                    </v:shape>
                  </w:pict>
                </mc:Fallback>
              </mc:AlternateContent>
            </w:r>
            <w:r w:rsidR="004C7D8E"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AB6B55">
              <w:rPr>
                <w:rFonts w:ascii="Arial" w:hAnsi="Arial" w:cs="Arial"/>
                <w:sz w:val="22"/>
                <w:szCs w:val="22"/>
              </w:rPr>
              <w:t xml:space="preserve">Kleingruppen einigen sich in </w:t>
            </w:r>
            <w:r w:rsidR="00DA35B0">
              <w:rPr>
                <w:rFonts w:ascii="Arial" w:hAnsi="Arial" w:cs="Arial"/>
                <w:sz w:val="22"/>
                <w:szCs w:val="22"/>
              </w:rPr>
              <w:t xml:space="preserve">einer </w:t>
            </w:r>
            <w:r w:rsidR="00AB6B55">
              <w:rPr>
                <w:rFonts w:ascii="Arial" w:hAnsi="Arial" w:cs="Arial"/>
                <w:sz w:val="22"/>
                <w:szCs w:val="22"/>
              </w:rPr>
              <w:t>Videokon</w:t>
            </w:r>
            <w:r w:rsidR="00DA35B0">
              <w:rPr>
                <w:rFonts w:ascii="Arial" w:hAnsi="Arial" w:cs="Arial"/>
                <w:sz w:val="22"/>
                <w:szCs w:val="22"/>
              </w:rPr>
              <w:t>f</w:t>
            </w:r>
            <w:r w:rsidR="00AB6B55">
              <w:rPr>
                <w:rFonts w:ascii="Arial" w:hAnsi="Arial" w:cs="Arial"/>
                <w:sz w:val="22"/>
                <w:szCs w:val="22"/>
              </w:rPr>
              <w:t>erenz auf 2 Texte und 1 Video/podcast mit den jeweiligen Aufgaben.</w:t>
            </w:r>
            <w:r w:rsidR="00E3257A">
              <w:rPr>
                <w:rFonts w:ascii="Arial" w:hAnsi="Arial" w:cs="Arial"/>
                <w:sz w:val="22"/>
                <w:szCs w:val="22"/>
              </w:rPr>
              <w:t xml:space="preserve"> Sie einigen sich auf finale Details ihres Medienpakets</w:t>
            </w:r>
          </w:p>
          <w:p w14:paraId="637C7027" w14:textId="6AB451B3" w:rsidR="00DA35B0" w:rsidRDefault="00DA35B0" w:rsidP="00AB6B5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Sie erstellen gemeinsam das gruppenbezogene Data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profile</w:t>
            </w:r>
            <w:proofErr w:type="spellEnd"/>
            <w:r w:rsidRPr="00DA3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(KV 2 </w:t>
            </w:r>
            <w:proofErr w:type="spellStart"/>
            <w:r w:rsidRPr="00DA35B0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Pr="00DA35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4A32E8F1" w14:textId="5A5DBE4A" w:rsidR="00AB6B55" w:rsidRPr="001F6BE7" w:rsidRDefault="00AB6B55" w:rsidP="00AB6B55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307" w:rsidRPr="001F6BE7" w14:paraId="093E03ED" w14:textId="77777777" w:rsidTr="008E62D7">
        <w:tc>
          <w:tcPr>
            <w:tcW w:w="580" w:type="dxa"/>
            <w:shd w:val="clear" w:color="auto" w:fill="auto"/>
          </w:tcPr>
          <w:p w14:paraId="2FBE71C7" w14:textId="3CEA1FFE" w:rsidR="00F74307" w:rsidRPr="001F6BE7" w:rsidRDefault="009C6D25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69" w:type="dxa"/>
            <w:shd w:val="clear" w:color="auto" w:fill="007EC2"/>
          </w:tcPr>
          <w:p w14:paraId="381FAB0C" w14:textId="3D9198B1" w:rsidR="00F74307" w:rsidRPr="001F6BE7" w:rsidRDefault="009C6D25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AB6B55">
              <w:rPr>
                <w:rFonts w:ascii="Arial" w:hAnsi="Arial" w:cs="Arial"/>
                <w:sz w:val="22"/>
                <w:szCs w:val="22"/>
              </w:rPr>
              <w:t>Hör-, Sehverstehen</w:t>
            </w:r>
            <w:r>
              <w:rPr>
                <w:rFonts w:ascii="Arial" w:hAnsi="Arial" w:cs="Arial"/>
                <w:sz w:val="22"/>
                <w:szCs w:val="22"/>
              </w:rPr>
              <w:t>, Leseverstehen</w:t>
            </w:r>
          </w:p>
        </w:tc>
        <w:tc>
          <w:tcPr>
            <w:tcW w:w="666" w:type="dxa"/>
            <w:shd w:val="clear" w:color="auto" w:fill="76B72A"/>
          </w:tcPr>
          <w:p w14:paraId="31F1B756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14:paraId="21133F20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7A698324" w14:textId="77777777" w:rsidR="00F74307" w:rsidRPr="001F6BE7" w:rsidRDefault="0047565C" w:rsidP="00A73BC8">
            <w:p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3CD8F816" w14:textId="64E8DA6D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6AB22F25" w14:textId="07DA8339" w:rsidR="00F74307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03" w:type="dxa"/>
            <w:shd w:val="clear" w:color="auto" w:fill="76B72A"/>
          </w:tcPr>
          <w:p w14:paraId="50C77F66" w14:textId="1FF27B06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106F478C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18187105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7CB49844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37426589" w14:textId="77777777" w:rsidR="00F74307" w:rsidRPr="001F6BE7" w:rsidRDefault="00F74307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DAB" w:rsidRPr="001F6BE7" w14:paraId="0F718725" w14:textId="77777777" w:rsidTr="00E27082">
        <w:tc>
          <w:tcPr>
            <w:tcW w:w="14280" w:type="dxa"/>
            <w:gridSpan w:val="12"/>
            <w:shd w:val="clear" w:color="auto" w:fill="auto"/>
          </w:tcPr>
          <w:p w14:paraId="2CE981A4" w14:textId="151F3C09" w:rsidR="00265DAB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098089" w14:textId="77777777" w:rsidR="00265DAB" w:rsidRDefault="00265DAB" w:rsidP="00265DA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Die </w:t>
            </w:r>
            <w:r>
              <w:rPr>
                <w:rFonts w:ascii="Arial" w:hAnsi="Arial" w:cs="Arial"/>
                <w:sz w:val="22"/>
                <w:szCs w:val="22"/>
              </w:rPr>
              <w:t>Kleingruppen erhalten nach Zufallsprinzip ein Medienpaket einer anderen Gruppe.</w:t>
            </w:r>
          </w:p>
          <w:p w14:paraId="0394D7A6" w14:textId="77777777" w:rsidR="00265DAB" w:rsidRDefault="00265DAB" w:rsidP="00265DA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bearbeiten die entsprechenden Aufgaben zuerst in Einzelarbeit.</w:t>
            </w:r>
          </w:p>
          <w:p w14:paraId="115DC7BD" w14:textId="77777777" w:rsidR="00265DAB" w:rsidRDefault="00265DAB" w:rsidP="00265DA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Danach gleichen sie die Ergebnisse in ihrer Gruppe ab.</w:t>
            </w:r>
          </w:p>
          <w:p w14:paraId="6A4ED55F" w14:textId="21FA10A8" w:rsidR="00265DAB" w:rsidRPr="00265DAB" w:rsidRDefault="00265DAB" w:rsidP="00265DA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65DAB">
              <w:rPr>
                <w:rFonts w:ascii="Arial" w:hAnsi="Arial" w:cs="Arial"/>
                <w:sz w:val="22"/>
                <w:szCs w:val="22"/>
              </w:rPr>
              <w:t xml:space="preserve">Zum Schluss vergleichen sie ihre Ergebnisse mit den Lösungen der </w:t>
            </w:r>
            <w:proofErr w:type="spellStart"/>
            <w:r w:rsidRPr="00265DAB">
              <w:rPr>
                <w:rFonts w:ascii="Arial" w:hAnsi="Arial" w:cs="Arial"/>
                <w:sz w:val="22"/>
                <w:szCs w:val="22"/>
              </w:rPr>
              <w:t>Erstellergruppe</w:t>
            </w:r>
            <w:proofErr w:type="spellEnd"/>
            <w:r w:rsidRPr="00265DAB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232519A" w14:textId="7D7281C6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DAB" w:rsidRPr="001F6BE7" w14:paraId="38AB8D47" w14:textId="77777777" w:rsidTr="008E62D7">
        <w:tc>
          <w:tcPr>
            <w:tcW w:w="580" w:type="dxa"/>
            <w:shd w:val="clear" w:color="auto" w:fill="auto"/>
          </w:tcPr>
          <w:p w14:paraId="52679748" w14:textId="55C454CE" w:rsidR="00265DAB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69" w:type="dxa"/>
            <w:shd w:val="clear" w:color="auto" w:fill="007EC2"/>
          </w:tcPr>
          <w:p w14:paraId="6B2385A9" w14:textId="2770AE8C" w:rsidR="00265DAB" w:rsidRPr="00AB6B55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Topic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task</w:t>
            </w:r>
            <w:proofErr w:type="spellEnd"/>
          </w:p>
        </w:tc>
        <w:tc>
          <w:tcPr>
            <w:tcW w:w="666" w:type="dxa"/>
            <w:shd w:val="clear" w:color="auto" w:fill="76B72A"/>
          </w:tcPr>
          <w:p w14:paraId="4CCBA2CC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shd w:val="clear" w:color="auto" w:fill="auto"/>
          </w:tcPr>
          <w:p w14:paraId="3B31566F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76B72A"/>
          </w:tcPr>
          <w:p w14:paraId="6ECDB07F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63F8DF9C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5DA75E07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76B72A"/>
          </w:tcPr>
          <w:p w14:paraId="78CF2422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3DAA1447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40D8BF3C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14:paraId="562D39A9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</w:tcPr>
          <w:p w14:paraId="2009F292" w14:textId="77777777" w:rsidR="00265DAB" w:rsidRPr="001F6BE7" w:rsidRDefault="00265DAB" w:rsidP="00A73B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E28" w:rsidRPr="001F6BE7" w14:paraId="412A7B35" w14:textId="77777777" w:rsidTr="00261D7B">
        <w:tc>
          <w:tcPr>
            <w:tcW w:w="14280" w:type="dxa"/>
            <w:gridSpan w:val="12"/>
            <w:shd w:val="clear" w:color="auto" w:fill="auto"/>
          </w:tcPr>
          <w:p w14:paraId="2B2955B1" w14:textId="6F958ED7" w:rsidR="00A82E28" w:rsidRPr="001F6BE7" w:rsidRDefault="00A82E28" w:rsidP="00A82E28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553A85C3" w14:textId="083DBD5C" w:rsidR="00265DAB" w:rsidRPr="00294E6B" w:rsidRDefault="00A82E28" w:rsidP="00294E6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B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5DAB">
              <w:rPr>
                <w:rFonts w:ascii="Arial" w:hAnsi="Arial" w:cs="Arial"/>
                <w:sz w:val="22"/>
                <w:szCs w:val="22"/>
              </w:rPr>
              <w:t xml:space="preserve">Die </w:t>
            </w:r>
            <w:proofErr w:type="spellStart"/>
            <w:r w:rsidR="00265DAB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 w:rsidR="00265DAB">
              <w:rPr>
                <w:rFonts w:ascii="Arial" w:hAnsi="Arial" w:cs="Arial"/>
                <w:sz w:val="22"/>
                <w:szCs w:val="22"/>
              </w:rPr>
              <w:t xml:space="preserve"> bearbeiten in Gruppen die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task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5DAB" w:rsidRPr="00BE4B74">
              <w:rPr>
                <w:rFonts w:ascii="Arial" w:hAnsi="Arial" w:cs="Arial"/>
                <w:sz w:val="22"/>
                <w:szCs w:val="22"/>
              </w:rPr>
              <w:t>zu</w:t>
            </w:r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5, Focusing on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local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management</w:t>
            </w:r>
            <w:proofErr w:type="spellEnd"/>
            <w:r w:rsidR="00265DAB" w:rsidRPr="00265DA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265D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4D95BF6" w14:textId="1C4EAA62" w:rsidR="00294E6B" w:rsidRPr="001F6BE7" w:rsidRDefault="00C630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95104" behindDoc="1" locked="0" layoutInCell="1" allowOverlap="1" wp14:anchorId="14EA6C37" wp14:editId="11BB8D62">
            <wp:simplePos x="0" y="0"/>
            <wp:positionH relativeFrom="column">
              <wp:posOffset>7787005</wp:posOffset>
            </wp:positionH>
            <wp:positionV relativeFrom="page">
              <wp:posOffset>-229235</wp:posOffset>
            </wp:positionV>
            <wp:extent cx="2505600" cy="2437200"/>
            <wp:effectExtent l="0" t="0" r="9525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00" cy="24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E6B" w:rsidRPr="001F6BE7" w:rsidSect="002B44F7">
      <w:footerReference w:type="default" r:id="rId11"/>
      <w:pgSz w:w="16840" w:h="11900" w:orient="landscape"/>
      <w:pgMar w:top="1417" w:right="113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D2864" w14:textId="77777777" w:rsidR="000E0374" w:rsidRDefault="000E0374" w:rsidP="002B44F7">
      <w:r>
        <w:separator/>
      </w:r>
    </w:p>
  </w:endnote>
  <w:endnote w:type="continuationSeparator" w:id="0">
    <w:p w14:paraId="0124FC91" w14:textId="77777777" w:rsidR="000E0374" w:rsidRDefault="000E0374" w:rsidP="002B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212" w:type="dxa"/>
      <w:tblInd w:w="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33"/>
      <w:gridCol w:w="3855"/>
      <w:gridCol w:w="6212"/>
      <w:gridCol w:w="6212"/>
    </w:tblGrid>
    <w:tr w:rsidR="002B44F7" w:rsidRPr="00153CE9" w14:paraId="6133F025" w14:textId="4B961FFC" w:rsidTr="002B44F7">
      <w:trPr>
        <w:trHeight w:hRule="exact" w:val="680"/>
      </w:trPr>
      <w:tc>
        <w:tcPr>
          <w:tcW w:w="933" w:type="dxa"/>
          <w:noWrap/>
        </w:tcPr>
        <w:p w14:paraId="6D600814" w14:textId="77777777" w:rsidR="002B44F7" w:rsidRPr="00153CE9" w:rsidRDefault="002B44F7" w:rsidP="002B44F7">
          <w:pPr>
            <w:pStyle w:val="ekvpaginabild"/>
            <w:jc w:val="both"/>
          </w:pPr>
          <w:r w:rsidRPr="00153CE9">
            <w:rPr>
              <w:lang w:eastAsia="de-DE"/>
            </w:rPr>
            <w:drawing>
              <wp:inline distT="0" distB="0" distL="0" distR="0" wp14:anchorId="20909715" wp14:editId="6600B9B9">
                <wp:extent cx="468000" cy="234000"/>
                <wp:effectExtent l="0" t="0" r="8255" b="0"/>
                <wp:docPr id="8" name="Graf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5" w:type="dxa"/>
          <w:noWrap/>
          <w:tcMar>
            <w:right w:w="57" w:type="dxa"/>
          </w:tcMar>
        </w:tcPr>
        <w:p w14:paraId="1822D377" w14:textId="5E38DC66" w:rsidR="002B44F7" w:rsidRPr="00153CE9" w:rsidRDefault="002B44F7" w:rsidP="002B44F7">
          <w:pPr>
            <w:pStyle w:val="ekvpagina"/>
          </w:pPr>
          <w:r w:rsidRPr="00153CE9">
            <w:t>© Ernst Klett Verlag GmbH, Stuttgart 20</w:t>
          </w:r>
          <w:r w:rsidR="001F6BE7">
            <w:t>20</w:t>
          </w:r>
          <w:r w:rsidRPr="00153CE9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6212" w:type="dxa"/>
          <w:noWrap/>
        </w:tcPr>
        <w:p w14:paraId="0B01DACF" w14:textId="47700C92" w:rsidR="002B44F7" w:rsidRPr="00153CE9" w:rsidRDefault="002B44F7" w:rsidP="001F6BE7">
          <w:pPr>
            <w:pStyle w:val="ekvquelle"/>
          </w:pPr>
          <w:r w:rsidRPr="00153CE9">
            <w:t xml:space="preserve">Textquellen: </w:t>
          </w:r>
          <w:r w:rsidR="001F6BE7">
            <w:t>Ephrem Wellenbrock, Dorsten</w:t>
          </w:r>
        </w:p>
      </w:tc>
      <w:tc>
        <w:tcPr>
          <w:tcW w:w="6212" w:type="dxa"/>
        </w:tcPr>
        <w:p w14:paraId="5955DA77" w14:textId="12C899C6" w:rsidR="002B44F7" w:rsidRPr="00153CE9" w:rsidRDefault="002B44F7" w:rsidP="002B44F7">
          <w:pPr>
            <w:pStyle w:val="ekvquelle"/>
            <w:ind w:left="0"/>
          </w:pPr>
        </w:p>
      </w:tc>
    </w:tr>
  </w:tbl>
  <w:p w14:paraId="6C9DB2BC" w14:textId="77777777" w:rsidR="002B44F7" w:rsidRDefault="002B4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59D2" w14:textId="77777777" w:rsidR="000E0374" w:rsidRDefault="000E0374" w:rsidP="002B44F7">
      <w:r>
        <w:separator/>
      </w:r>
    </w:p>
  </w:footnote>
  <w:footnote w:type="continuationSeparator" w:id="0">
    <w:p w14:paraId="3D2656C0" w14:textId="77777777" w:rsidR="000E0374" w:rsidRDefault="000E0374" w:rsidP="002B4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4028"/>
    <w:multiLevelType w:val="hybridMultilevel"/>
    <w:tmpl w:val="6BE0C76C"/>
    <w:lvl w:ilvl="0" w:tplc="BD3A05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07"/>
    <w:rsid w:val="00090496"/>
    <w:rsid w:val="000930C8"/>
    <w:rsid w:val="000E0374"/>
    <w:rsid w:val="000F2970"/>
    <w:rsid w:val="000F7E86"/>
    <w:rsid w:val="00105C05"/>
    <w:rsid w:val="00153AAC"/>
    <w:rsid w:val="0015743D"/>
    <w:rsid w:val="001636B5"/>
    <w:rsid w:val="00174A2A"/>
    <w:rsid w:val="001A5813"/>
    <w:rsid w:val="001B60F0"/>
    <w:rsid w:val="001F2549"/>
    <w:rsid w:val="001F6BE7"/>
    <w:rsid w:val="00214C05"/>
    <w:rsid w:val="00217E9C"/>
    <w:rsid w:val="00223C15"/>
    <w:rsid w:val="002460F7"/>
    <w:rsid w:val="00264ECE"/>
    <w:rsid w:val="00265DAB"/>
    <w:rsid w:val="002742B0"/>
    <w:rsid w:val="00294E6B"/>
    <w:rsid w:val="002B44F7"/>
    <w:rsid w:val="002C1D74"/>
    <w:rsid w:val="002F23A3"/>
    <w:rsid w:val="003548C8"/>
    <w:rsid w:val="0036591F"/>
    <w:rsid w:val="003831DD"/>
    <w:rsid w:val="0038571E"/>
    <w:rsid w:val="003A67ED"/>
    <w:rsid w:val="004435F5"/>
    <w:rsid w:val="004636E7"/>
    <w:rsid w:val="0047565C"/>
    <w:rsid w:val="00476EF2"/>
    <w:rsid w:val="004779DB"/>
    <w:rsid w:val="00492745"/>
    <w:rsid w:val="00495B5F"/>
    <w:rsid w:val="004A51ED"/>
    <w:rsid w:val="004B6E8B"/>
    <w:rsid w:val="004C7D8E"/>
    <w:rsid w:val="0051540B"/>
    <w:rsid w:val="0054458A"/>
    <w:rsid w:val="005C73DA"/>
    <w:rsid w:val="00626267"/>
    <w:rsid w:val="00664333"/>
    <w:rsid w:val="00682041"/>
    <w:rsid w:val="006F17CC"/>
    <w:rsid w:val="00763AF6"/>
    <w:rsid w:val="00765D5D"/>
    <w:rsid w:val="0079483E"/>
    <w:rsid w:val="007C451C"/>
    <w:rsid w:val="007D535A"/>
    <w:rsid w:val="007D5668"/>
    <w:rsid w:val="007D5811"/>
    <w:rsid w:val="007E0FE8"/>
    <w:rsid w:val="007F52B7"/>
    <w:rsid w:val="00802EFD"/>
    <w:rsid w:val="00806E0D"/>
    <w:rsid w:val="00812CE2"/>
    <w:rsid w:val="008276AC"/>
    <w:rsid w:val="00841BD0"/>
    <w:rsid w:val="00875904"/>
    <w:rsid w:val="008B2B2A"/>
    <w:rsid w:val="008E62D7"/>
    <w:rsid w:val="00907CAE"/>
    <w:rsid w:val="009401CC"/>
    <w:rsid w:val="00963E41"/>
    <w:rsid w:val="0097398E"/>
    <w:rsid w:val="009A3033"/>
    <w:rsid w:val="009C6D25"/>
    <w:rsid w:val="009D20D4"/>
    <w:rsid w:val="009E1665"/>
    <w:rsid w:val="009E3EAB"/>
    <w:rsid w:val="009F0A12"/>
    <w:rsid w:val="009F2CFE"/>
    <w:rsid w:val="00A00477"/>
    <w:rsid w:val="00A04EDD"/>
    <w:rsid w:val="00A375A9"/>
    <w:rsid w:val="00A73CAA"/>
    <w:rsid w:val="00A82E28"/>
    <w:rsid w:val="00AA1C18"/>
    <w:rsid w:val="00AA579D"/>
    <w:rsid w:val="00AA6FB8"/>
    <w:rsid w:val="00AB18EF"/>
    <w:rsid w:val="00AB6B55"/>
    <w:rsid w:val="00AF0D42"/>
    <w:rsid w:val="00AF36FE"/>
    <w:rsid w:val="00AF78BF"/>
    <w:rsid w:val="00B41936"/>
    <w:rsid w:val="00B4659C"/>
    <w:rsid w:val="00B72F71"/>
    <w:rsid w:val="00B86DD2"/>
    <w:rsid w:val="00B87574"/>
    <w:rsid w:val="00BA0662"/>
    <w:rsid w:val="00BE4B74"/>
    <w:rsid w:val="00BF4706"/>
    <w:rsid w:val="00BF5593"/>
    <w:rsid w:val="00C31F40"/>
    <w:rsid w:val="00C6309E"/>
    <w:rsid w:val="00C70A7A"/>
    <w:rsid w:val="00C70B96"/>
    <w:rsid w:val="00C90DD8"/>
    <w:rsid w:val="00C95D27"/>
    <w:rsid w:val="00CB35AD"/>
    <w:rsid w:val="00CD095B"/>
    <w:rsid w:val="00CE0015"/>
    <w:rsid w:val="00CF32BC"/>
    <w:rsid w:val="00D0541A"/>
    <w:rsid w:val="00D43F66"/>
    <w:rsid w:val="00D619FD"/>
    <w:rsid w:val="00D6581C"/>
    <w:rsid w:val="00DA35B0"/>
    <w:rsid w:val="00DF588F"/>
    <w:rsid w:val="00E112B0"/>
    <w:rsid w:val="00E3257A"/>
    <w:rsid w:val="00EA0A8B"/>
    <w:rsid w:val="00ED32D0"/>
    <w:rsid w:val="00F4662F"/>
    <w:rsid w:val="00F6477C"/>
    <w:rsid w:val="00F74307"/>
    <w:rsid w:val="00FD154E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03A6A"/>
  <w15:chartTrackingRefBased/>
  <w15:docId w15:val="{484E55E1-0013-9740-96B7-0219C64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5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4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4F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B4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4F7"/>
    <w:rPr>
      <w:rFonts w:eastAsiaTheme="minorEastAsia"/>
    </w:rPr>
  </w:style>
  <w:style w:type="paragraph" w:customStyle="1" w:styleId="ekvpagina">
    <w:name w:val="ekv.pagina"/>
    <w:basedOn w:val="Standard"/>
    <w:uiPriority w:val="99"/>
    <w:qFormat/>
    <w:rsid w:val="002B44F7"/>
    <w:pPr>
      <w:spacing w:line="130" w:lineRule="exact"/>
      <w:ind w:left="113"/>
    </w:pPr>
    <w:rPr>
      <w:rFonts w:ascii="Arial" w:eastAsiaTheme="minorHAnsi" w:hAnsi="Arial"/>
      <w:noProof/>
      <w:sz w:val="10"/>
      <w:szCs w:val="22"/>
    </w:rPr>
  </w:style>
  <w:style w:type="paragraph" w:customStyle="1" w:styleId="ekvpaginabild">
    <w:name w:val="ekv.pagina.bild"/>
    <w:basedOn w:val="Standard"/>
    <w:uiPriority w:val="99"/>
    <w:semiHidden/>
    <w:qFormat/>
    <w:rsid w:val="002B44F7"/>
    <w:pPr>
      <w:tabs>
        <w:tab w:val="left" w:pos="340"/>
        <w:tab w:val="left" w:pos="595"/>
        <w:tab w:val="left" w:pos="851"/>
      </w:tabs>
      <w:ind w:right="113"/>
      <w:jc w:val="right"/>
    </w:pPr>
    <w:rPr>
      <w:rFonts w:ascii="Arial" w:eastAsiaTheme="minorHAnsi" w:hAnsi="Arial"/>
      <w:noProof/>
      <w:sz w:val="10"/>
      <w:szCs w:val="22"/>
    </w:rPr>
  </w:style>
  <w:style w:type="paragraph" w:customStyle="1" w:styleId="ekvquelle">
    <w:name w:val="ekv.quelle"/>
    <w:basedOn w:val="Standard"/>
    <w:uiPriority w:val="99"/>
    <w:qFormat/>
    <w:rsid w:val="002B44F7"/>
    <w:pPr>
      <w:spacing w:line="130" w:lineRule="exact"/>
      <w:ind w:left="113"/>
    </w:pPr>
    <w:rPr>
      <w:rFonts w:ascii="Arial" w:eastAsiaTheme="minorHAnsi" w:hAnsi="Arial"/>
      <w:noProof/>
      <w:sz w:val="10"/>
      <w:szCs w:val="22"/>
    </w:rPr>
  </w:style>
  <w:style w:type="character" w:styleId="Hyperlink">
    <w:name w:val="Hyperlink"/>
    <w:basedOn w:val="Absatz-Standardschriftart"/>
    <w:uiPriority w:val="99"/>
    <w:unhideWhenUsed/>
    <w:rsid w:val="00CB35A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3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1T09:22:37.202"/>
    </inkml:context>
    <inkml:brush xml:id="br0">
      <inkml:brushProperty name="width" value="0.04269" units="cm"/>
      <inkml:brushProperty name="height" value="0.04269" units="cm"/>
      <inkml:brushProperty name="color" value="#333333"/>
    </inkml:brush>
  </inkml:definitions>
  <inkml:trace contextRef="#ctx0" brushRef="#br0">19 61 8032,'-7'-12'0,"2"1"115,0 3 215,3-3-584,2 4 1,7 1 0,5 2-1,0 2 254,1 2 0,4 6 0,2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dcterms:created xsi:type="dcterms:W3CDTF">2020-11-17T10:51:00Z</dcterms:created>
  <dcterms:modified xsi:type="dcterms:W3CDTF">2020-11-17T10:51:00Z</dcterms:modified>
</cp:coreProperties>
</file>