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43" w:rsidRDefault="00044B0D" w:rsidP="00044B0D">
      <w:pPr>
        <w:pStyle w:val="dtiteltext"/>
        <w:ind w:left="-2268"/>
      </w:pPr>
      <w:r>
        <w:tab/>
      </w:r>
      <w:r w:rsidR="00B00743">
        <w:t>Kollektive Kreativität</w:t>
      </w:r>
    </w:p>
    <w:p w:rsidR="00B00743" w:rsidRDefault="00B00743" w:rsidP="00B00743">
      <w:pPr>
        <w:pStyle w:val="dtext"/>
        <w:spacing w:after="0"/>
        <w:sectPr w:rsidR="00B00743" w:rsidSect="007E17B3">
          <w:headerReference w:type="even" r:id="rId8"/>
          <w:headerReference w:type="default" r:id="rId9"/>
          <w:footerReference w:type="even" r:id="rId10"/>
          <w:headerReference w:type="first" r:id="rId11"/>
          <w:footerReference w:type="first" r:id="rId12"/>
          <w:type w:val="continuous"/>
          <w:pgSz w:w="11906" w:h="16838" w:code="9"/>
          <w:pgMar w:top="2268" w:right="1361" w:bottom="1871" w:left="3289" w:header="1021" w:footer="454" w:gutter="0"/>
          <w:cols w:space="227"/>
          <w:titlePg/>
          <w:docGrid w:linePitch="360"/>
        </w:sectPr>
      </w:pPr>
    </w:p>
    <w:p w:rsidR="00B00743" w:rsidRDefault="00B00743" w:rsidP="00B00743">
      <w:pPr>
        <w:pStyle w:val="dtext"/>
        <w:spacing w:after="0"/>
      </w:pPr>
      <w:r>
        <w:lastRenderedPageBreak/>
        <w:t>Kreativität, das Schaffen von Kunst, wird oft – auch im Theater – mit dem Bild des exzentrischen Regisseurs, der mit se</w:t>
      </w:r>
      <w:r>
        <w:t>i</w:t>
      </w:r>
      <w:r>
        <w:t>nen genialen Einfällen das Geschehen auf der Bühne hervorbringt und alles aus „seinen“ Schauspielern herauskitzelt in Verbindung gebracht. Kreativität wird als Ausnahmeleistung Einzelner gedacht, die den anderen als Vorbild dient. Ger</w:t>
      </w:r>
      <w:r>
        <w:t>a</w:t>
      </w:r>
      <w:r>
        <w:t xml:space="preserve">de aber das Theater ist dem Wesen nach </w:t>
      </w:r>
      <w:proofErr w:type="gramStart"/>
      <w:r>
        <w:t>eine soziale</w:t>
      </w:r>
      <w:proofErr w:type="gramEnd"/>
      <w:r>
        <w:t xml:space="preserve"> Kunstform, eine E</w:t>
      </w:r>
      <w:r>
        <w:t>n</w:t>
      </w:r>
      <w:r>
        <w:t>semblekunst, bei der es auf das Z</w:t>
      </w:r>
      <w:r>
        <w:t>u</w:t>
      </w:r>
      <w:r>
        <w:t>sammenspiel unterschiedlichster Me</w:t>
      </w:r>
      <w:r>
        <w:t>n</w:t>
      </w:r>
      <w:r>
        <w:t xml:space="preserve">schen ankommt, die gemeinsam ein Kunstwerk gestalten. Die Kunstform ist prädestiniert dafür, dass viele </w:t>
      </w:r>
      <w:r w:rsidRPr="00B00743">
        <w:t>Menschen</w:t>
      </w:r>
      <w:r>
        <w:t xml:space="preserve"> kollektiv, gemeinschaftlich und gleichb</w:t>
      </w:r>
      <w:r>
        <w:t>e</w:t>
      </w:r>
      <w:r>
        <w:t>rechtigt, kreativ werden. Aber der Schritt zur kollektiven Kreativität ist dennoch eine bewusste Entscheidung, denn der professionelle Theaterbetrieb ist stark hierarchisiert und selbst freie Gruppen arbeiten meist mit der klar herausgeh</w:t>
      </w:r>
      <w:r>
        <w:t>o</w:t>
      </w:r>
      <w:r>
        <w:t>benen Position des Regisseurs. Gru</w:t>
      </w:r>
      <w:r>
        <w:t>p</w:t>
      </w:r>
      <w:r>
        <w:t>pen, die sich für eine kollektive kreative Arbeit entscheiden</w:t>
      </w:r>
      <w:r w:rsidR="002A194C">
        <w:t>,</w:t>
      </w:r>
      <w:r>
        <w:t xml:space="preserve"> erleben Prozesse, die geprägt sind von:</w:t>
      </w:r>
    </w:p>
    <w:p w:rsidR="00B00743" w:rsidRDefault="00B00743" w:rsidP="00B00743">
      <w:pPr>
        <w:pStyle w:val="dtext"/>
        <w:spacing w:after="0"/>
        <w:rPr>
          <w:color w:val="008000"/>
        </w:rPr>
      </w:pPr>
    </w:p>
    <w:p w:rsidR="00B00743" w:rsidRPr="002A194C" w:rsidRDefault="00B00743" w:rsidP="00B00743">
      <w:pPr>
        <w:pStyle w:val="dtext"/>
        <w:spacing w:after="0"/>
      </w:pPr>
      <w:r>
        <w:rPr>
          <w:b/>
        </w:rPr>
        <w:t xml:space="preserve">Mitbestimmung: </w:t>
      </w:r>
      <w:r>
        <w:t>Die Regie verliert an Bedeutung, die Beteiligten können mit ihren Ideen und individuellen Fähigkeiten über das klassische zugeordnete Feld hinaus (Darstellung, Kostüm, Bühne</w:t>
      </w:r>
      <w:r>
        <w:t>n</w:t>
      </w:r>
      <w:r>
        <w:t>bild, Dramaturgie, Regie, Licht, Technik, Organisation) künstlerisch aktiv werden. Die Identifikation aller Beteiligten mit dem Stück wächst, da man nicht einfach die Ideen eines anderen umsetzt, so</w:t>
      </w:r>
      <w:r>
        <w:t>n</w:t>
      </w:r>
      <w:r>
        <w:t>dern die eigenen Ideen lebendig werden lässt.</w:t>
      </w:r>
      <w:r>
        <w:rPr>
          <w:color w:val="008000"/>
        </w:rPr>
        <w:t xml:space="preserve"> </w:t>
      </w:r>
    </w:p>
    <w:p w:rsidR="00D75F92" w:rsidRPr="002A194C" w:rsidRDefault="00D75F92" w:rsidP="00B00743">
      <w:pPr>
        <w:pStyle w:val="dtext"/>
        <w:spacing w:after="0"/>
      </w:pPr>
    </w:p>
    <w:p w:rsidR="00B00743" w:rsidRDefault="00B00743" w:rsidP="00B00743">
      <w:pPr>
        <w:pStyle w:val="dtext"/>
        <w:spacing w:after="0"/>
      </w:pPr>
      <w:r>
        <w:rPr>
          <w:b/>
        </w:rPr>
        <w:t xml:space="preserve">Zwischenmenschliche Prozesse: </w:t>
      </w:r>
      <w:r>
        <w:t>Trotz flacher Machtstrukturen und einer prinz</w:t>
      </w:r>
      <w:r>
        <w:t>i</w:t>
      </w:r>
      <w:r>
        <w:t>piellen Gleichwertigkeit aller Beteiligten können Konkurrenz- und Leistung</w:t>
      </w:r>
      <w:r>
        <w:t>s</w:t>
      </w:r>
      <w:r>
        <w:t>denken, egoistische Selbstbehauptung und Ausgrenzungen entstehen. Auch Verä</w:t>
      </w:r>
      <w:r>
        <w:t>n</w:t>
      </w:r>
      <w:r>
        <w:t>derungen in der Gruppenstruktur, kö</w:t>
      </w:r>
      <w:r>
        <w:t>n</w:t>
      </w:r>
      <w:r>
        <w:t xml:space="preserve">nen das sensible Gleichgewicht des Gruppengefüges ins Wanken bringen, sodass es neu austariert werden muss. </w:t>
      </w:r>
      <w:r>
        <w:lastRenderedPageBreak/>
        <w:t>Kollektive Kreativität braucht deswegen als Grundlage für einen produktiven Prozess v.a. Vertrauen und Nähe der Beteiligten zueinander, die wechselseit</w:t>
      </w:r>
      <w:r>
        <w:t>i</w:t>
      </w:r>
      <w:r>
        <w:t xml:space="preserve">ge Akzeptanz von Unterschiedlichkeit und Spannungsverhältnissen und die Fähigkeit, angemessen und konstruktiv Kritik zu üben und zu akzeptieren. </w:t>
      </w:r>
    </w:p>
    <w:p w:rsidR="00D75F92" w:rsidRPr="002A194C" w:rsidRDefault="00D75F92" w:rsidP="00B00743">
      <w:pPr>
        <w:pStyle w:val="dtext"/>
        <w:spacing w:after="0"/>
      </w:pPr>
    </w:p>
    <w:p w:rsidR="00B00743" w:rsidRDefault="00B00743" w:rsidP="00B00743">
      <w:pPr>
        <w:pStyle w:val="dtext"/>
        <w:spacing w:after="0"/>
      </w:pPr>
      <w:r>
        <w:rPr>
          <w:b/>
        </w:rPr>
        <w:t xml:space="preserve">Persönliches Wachstum: </w:t>
      </w:r>
      <w:r>
        <w:t>Die intensive und nicht selten auch konfliktreiche Zusammenarbeit mit anderen Menschen bietet den Beteiligten ein Lernfeld für zwischenmenschliche Prozesse. Oft sind damit auch Prozesse persönlichen Wachstums, eine Steigerung der Tol</w:t>
      </w:r>
      <w:r>
        <w:t>e</w:t>
      </w:r>
      <w:r>
        <w:t>ranz und der Erwerb sogenannter Soz</w:t>
      </w:r>
      <w:r>
        <w:t>i</w:t>
      </w:r>
      <w:r>
        <w:t>alkompetenz verbunden. Da die Beteili</w:t>
      </w:r>
      <w:r>
        <w:t>g</w:t>
      </w:r>
      <w:r>
        <w:t>ten sich im Arbeitsprozess häufig inhal</w:t>
      </w:r>
      <w:r>
        <w:t>t</w:t>
      </w:r>
      <w:r>
        <w:t>lich mit bestimmten Themen und The</w:t>
      </w:r>
      <w:r>
        <w:t>o</w:t>
      </w:r>
      <w:r>
        <w:t>rien auseinandersetzen und sich gezielt mit der Analyse der Arbeit beschäftigen, schaffen sie das Fundament dafür, auch in ihrem künstlerischen Ausdrucksve</w:t>
      </w:r>
      <w:r>
        <w:t>r</w:t>
      </w:r>
      <w:r>
        <w:t>mögen zu wachsen. Den ästhetischen Prozess mittragen heißt mehr über die Wirkungsweisen von Ästhetik und thea</w:t>
      </w:r>
      <w:r>
        <w:t>t</w:t>
      </w:r>
      <w:r>
        <w:t>ralen Strukturen lernen, da die Beteili</w:t>
      </w:r>
      <w:r>
        <w:t>g</w:t>
      </w:r>
      <w:r>
        <w:t>ten sich nicht einfach auf die Entsche</w:t>
      </w:r>
      <w:r>
        <w:t>i</w:t>
      </w:r>
      <w:r>
        <w:t>dung eines Regisseurs verlassen, so</w:t>
      </w:r>
      <w:r>
        <w:t>n</w:t>
      </w:r>
      <w:r>
        <w:t>dern das entwickelte Material selbst unter ästhetischen Gesichtspun</w:t>
      </w:r>
      <w:r>
        <w:t>k</w:t>
      </w:r>
      <w:r>
        <w:t>ten betrachten, analysieren und weiterentw</w:t>
      </w:r>
      <w:r>
        <w:t>i</w:t>
      </w:r>
      <w:r>
        <w:t xml:space="preserve">ckeln. </w:t>
      </w:r>
    </w:p>
    <w:p w:rsidR="00D75F92" w:rsidRDefault="00D75F92" w:rsidP="00B00743">
      <w:pPr>
        <w:pStyle w:val="dtext"/>
        <w:spacing w:after="0"/>
        <w:rPr>
          <w:color w:val="008000"/>
        </w:rPr>
      </w:pPr>
    </w:p>
    <w:p w:rsidR="00B00743" w:rsidRDefault="00B00743" w:rsidP="00B00743">
      <w:pPr>
        <w:pStyle w:val="dtext"/>
        <w:spacing w:after="0"/>
      </w:pPr>
      <w:r>
        <w:rPr>
          <w:b/>
        </w:rPr>
        <w:t>Ungewöhnliche ästhetische Lösu</w:t>
      </w:r>
      <w:r>
        <w:rPr>
          <w:b/>
        </w:rPr>
        <w:t>n</w:t>
      </w:r>
      <w:r>
        <w:rPr>
          <w:b/>
        </w:rPr>
        <w:t xml:space="preserve">gen: </w:t>
      </w:r>
      <w:r>
        <w:t>Wenn viele unterschiedliche Me</w:t>
      </w:r>
      <w:r>
        <w:t>n</w:t>
      </w:r>
      <w:r>
        <w:t>schen mit unterschiedlichsten Interessen und Fähigkeiten am kreativen Prozess beteiligt sind, ist die Suchbewegung nach szenischem Material oft breit. Das braucht zum einen mehr Zeit als die Umsetzung einer klaren ästhetischen Vision, die vielen verschiedenen Impulse der Beteiligten, lassen aber auch ung</w:t>
      </w:r>
      <w:r>
        <w:t>e</w:t>
      </w:r>
      <w:r>
        <w:t>wöhnliche Ideen entstehen, auf die eine Einzelperson nicht gekommen wäre.</w:t>
      </w:r>
    </w:p>
    <w:p w:rsidR="00D75F92" w:rsidRDefault="00D75F92" w:rsidP="00B00743">
      <w:pPr>
        <w:pStyle w:val="dtext"/>
        <w:spacing w:after="0"/>
        <w:rPr>
          <w:b/>
        </w:rPr>
      </w:pPr>
    </w:p>
    <w:p w:rsidR="00B00743" w:rsidRDefault="00B00743" w:rsidP="00B00743">
      <w:pPr>
        <w:pStyle w:val="dtext"/>
        <w:spacing w:after="0"/>
      </w:pPr>
      <w:r>
        <w:rPr>
          <w:b/>
        </w:rPr>
        <w:t xml:space="preserve">Das Problem mit dem Außenblick: </w:t>
      </w:r>
      <w:r>
        <w:t>Ein generelles strukturelles Problem bleibt bei kollektiven Prozessen immer best</w:t>
      </w:r>
      <w:r>
        <w:t>e</w:t>
      </w:r>
      <w:r>
        <w:lastRenderedPageBreak/>
        <w:t>hen: Die Darstellenden bleiben angewi</w:t>
      </w:r>
      <w:r>
        <w:t>e</w:t>
      </w:r>
      <w:r>
        <w:t>sen auf einen Blick von außen, den sie nicht selbst leisten können. Sie sind angewiesen auf einen professionellen Zuschauer und Impulsgeber, der die Wirkung ihres Spiels analysiert und kontrolliert. Um diesem Dilemma entg</w:t>
      </w:r>
      <w:r>
        <w:t>e</w:t>
      </w:r>
      <w:r>
        <w:t xml:space="preserve">genzuwirken, entwickeln Gruppen </w:t>
      </w:r>
      <w:r w:rsidR="00F13D73">
        <w:t>z.B.</w:t>
      </w:r>
      <w:r>
        <w:t xml:space="preserve"> Rotationsverfahren, in denen die Posit</w:t>
      </w:r>
      <w:r>
        <w:t>i</w:t>
      </w:r>
      <w:r>
        <w:lastRenderedPageBreak/>
        <w:t>on der Regie wechselt und immer j</w:t>
      </w:r>
      <w:r>
        <w:t>e</w:t>
      </w:r>
      <w:r>
        <w:t>mand anderes eine Szene anleitet und kritisch betrachtet. Oder aber die Gru</w:t>
      </w:r>
      <w:r>
        <w:t>p</w:t>
      </w:r>
      <w:r>
        <w:t>pen arbeiten trotz prinzipieller Gleichwe</w:t>
      </w:r>
      <w:r>
        <w:t>r</w:t>
      </w:r>
      <w:r>
        <w:t>tigkeit mit der Position der Regie, die sich aber eher als Impulsgeber versteht denn als Szenenvisionär (</w:t>
      </w:r>
      <w:r w:rsidR="00F13D73">
        <w:t>s</w:t>
      </w:r>
      <w:r>
        <w:t>iehe „Praxi</w:t>
      </w:r>
      <w:r>
        <w:t>s</w:t>
      </w:r>
      <w:r>
        <w:t>beispiel – Ariane Mnouchkine“)</w:t>
      </w:r>
    </w:p>
    <w:p w:rsidR="00B00743" w:rsidRDefault="00B00743" w:rsidP="00B00743">
      <w:pPr>
        <w:pStyle w:val="dtext"/>
        <w:spacing w:after="0"/>
        <w:rPr>
          <w:b/>
          <w:color w:val="008000"/>
        </w:rPr>
        <w:sectPr w:rsidR="00B00743" w:rsidSect="001D6503">
          <w:footerReference w:type="default" r:id="rId13"/>
          <w:type w:val="continuous"/>
          <w:pgSz w:w="11906" w:h="16838" w:code="9"/>
          <w:pgMar w:top="2268" w:right="1361" w:bottom="1871" w:left="3289" w:header="1021" w:footer="454" w:gutter="0"/>
          <w:cols w:num="2" w:space="709"/>
          <w:titlePg/>
          <w:docGrid w:linePitch="360"/>
        </w:sectPr>
      </w:pPr>
    </w:p>
    <w:p w:rsidR="00B00743" w:rsidRPr="002F4D81" w:rsidRDefault="002A194C" w:rsidP="00B00743">
      <w:pPr>
        <w:pStyle w:val="dtext"/>
        <w:spacing w:after="0"/>
        <w:rPr>
          <w:b/>
          <w:color w:val="D6083B"/>
        </w:rPr>
      </w:pPr>
      <w:r w:rsidRPr="002F4D81">
        <w:rPr>
          <w:b/>
          <w:color w:val="D6083B"/>
        </w:rPr>
        <w:lastRenderedPageBreak/>
        <w:t>________________________________________________________________________</w:t>
      </w:r>
    </w:p>
    <w:p w:rsidR="002A194C" w:rsidRPr="002A194C" w:rsidRDefault="002A194C" w:rsidP="00B00743">
      <w:pPr>
        <w:pStyle w:val="dtext"/>
        <w:spacing w:after="0"/>
        <w:rPr>
          <w:b/>
          <w:color w:val="FF0000"/>
        </w:rPr>
      </w:pPr>
    </w:p>
    <w:p w:rsidR="00B00743" w:rsidRDefault="00044B0D" w:rsidP="00044B0D">
      <w:pPr>
        <w:pStyle w:val="dtiteltext"/>
        <w:ind w:left="-2268"/>
      </w:pPr>
      <w:r>
        <w:tab/>
      </w:r>
      <w:r w:rsidR="00B00743">
        <w:t>Theaterkollektive</w:t>
      </w:r>
    </w:p>
    <w:p w:rsidR="00B00743" w:rsidRDefault="00B00743" w:rsidP="00B00743">
      <w:pPr>
        <w:pStyle w:val="dtext"/>
        <w:spacing w:after="0"/>
        <w:sectPr w:rsidR="00B00743" w:rsidSect="007E17B3">
          <w:type w:val="continuous"/>
          <w:pgSz w:w="11906" w:h="16838" w:code="9"/>
          <w:pgMar w:top="2268" w:right="1361" w:bottom="1871" w:left="3289" w:header="1021" w:footer="454" w:gutter="0"/>
          <w:cols w:space="227"/>
          <w:titlePg/>
          <w:docGrid w:linePitch="360"/>
        </w:sectPr>
      </w:pPr>
    </w:p>
    <w:p w:rsidR="00B00743" w:rsidRDefault="00B00743" w:rsidP="00B00743">
      <w:pPr>
        <w:pStyle w:val="dtext"/>
        <w:spacing w:after="0"/>
      </w:pPr>
      <w:r>
        <w:lastRenderedPageBreak/>
        <w:t>Als Theaterkollektiv bezeichnet man einen Zusammenschluss von Menschen, der sich ausdrücklich der gemeinsamen Theaterarbeit im Sinne einer kollektiven Kreativität verschrieben hat. Anders als im gewöhnlichen Theaterbetrieb, werden die personellen Trennungen der klass</w:t>
      </w:r>
      <w:r>
        <w:t>i</w:t>
      </w:r>
      <w:r>
        <w:t>schen Positionen von Regie, Dramatu</w:t>
      </w:r>
      <w:r>
        <w:t>r</w:t>
      </w:r>
      <w:r>
        <w:t>gie und Schauspiel in solchen Ko</w:t>
      </w:r>
      <w:r>
        <w:t>l</w:t>
      </w:r>
      <w:r>
        <w:t>lektiven teilweise aufgeweicht oder exi</w:t>
      </w:r>
      <w:r>
        <w:t>s</w:t>
      </w:r>
      <w:r>
        <w:t>tieren gar nicht. Die Stücke werden in gemei</w:t>
      </w:r>
      <w:r>
        <w:t>n</w:t>
      </w:r>
      <w:r>
        <w:t>samer Arbeit entwickelt, bei der alle Beteiligten gleichberechtigt am künstlerischen Schaffensprozess mitwi</w:t>
      </w:r>
      <w:r>
        <w:t>r</w:t>
      </w:r>
      <w:r>
        <w:t>ken. Künstlerische Entscheidungen werden gemeinsam getroffen, oft im Konsens, das heißt nur mit dem Einve</w:t>
      </w:r>
      <w:r>
        <w:t>r</w:t>
      </w:r>
      <w:r>
        <w:t>ständnis aller Beteiligten, damit das Ergebnis von allen getragen wird und keine Unzufri</w:t>
      </w:r>
      <w:r>
        <w:t>e</w:t>
      </w:r>
      <w:r>
        <w:t xml:space="preserve">denheit und Ungleichheit entstehen. Oft vermischt sich in solchen </w:t>
      </w:r>
      <w:r>
        <w:lastRenderedPageBreak/>
        <w:t>Kollektiven auch die Trennung von A</w:t>
      </w:r>
      <w:r>
        <w:t>r</w:t>
      </w:r>
      <w:r>
        <w:t>beit und L</w:t>
      </w:r>
      <w:r>
        <w:t>e</w:t>
      </w:r>
      <w:r>
        <w:t>ben, die beteiligten Künstler sind Koll</w:t>
      </w:r>
      <w:r>
        <w:t>e</w:t>
      </w:r>
      <w:r>
        <w:t>gen und Freunde.</w:t>
      </w:r>
      <w:r>
        <w:rPr>
          <w:color w:val="008000"/>
        </w:rPr>
        <w:t xml:space="preserve"> </w:t>
      </w:r>
      <w:r>
        <w:t>Nicht selten sind so</w:t>
      </w:r>
      <w:r>
        <w:t>l</w:t>
      </w:r>
      <w:r>
        <w:t>che Theaterkollektive politisch motiviert – sie verstehen sich als G</w:t>
      </w:r>
      <w:r>
        <w:t>e</w:t>
      </w:r>
      <w:r>
        <w:t>genmodell zum etablierten und hiera</w:t>
      </w:r>
      <w:r>
        <w:t>r</w:t>
      </w:r>
      <w:r>
        <w:t>chisierten Theaterbetrieb und positioni</w:t>
      </w:r>
      <w:r>
        <w:t>e</w:t>
      </w:r>
      <w:r>
        <w:t>ren sich manchmal mit ihrer künstler</w:t>
      </w:r>
      <w:r>
        <w:t>i</w:t>
      </w:r>
      <w:r>
        <w:t>schen Arbeit auch ausdrücklich politisch oder gesel</w:t>
      </w:r>
      <w:r>
        <w:t>l</w:t>
      </w:r>
      <w:r>
        <w:t>schaftskritisch. Die ersten Theaterkolle</w:t>
      </w:r>
      <w:r>
        <w:t>k</w:t>
      </w:r>
      <w:r>
        <w:t>tive entstanden im Zuge der Studente</w:t>
      </w:r>
      <w:r>
        <w:t>n</w:t>
      </w:r>
      <w:r>
        <w:t>bewegung in den 1960er-Jahren, das Konzept entsprach dem politischen Ideal einer hierarchiefreien, sozialistischen Gesellschaft.</w:t>
      </w:r>
      <w:r>
        <w:rPr>
          <w:color w:val="FF6600"/>
        </w:rPr>
        <w:t xml:space="preserve"> </w:t>
      </w:r>
      <w:r>
        <w:t xml:space="preserve">Bekannte Theaterkollektive in Deutschland waren zu dieser Zeit </w:t>
      </w:r>
      <w:r w:rsidR="00F13D73">
        <w:t xml:space="preserve">z.B. </w:t>
      </w:r>
      <w:r>
        <w:t>die Schaubühne am Halleschen Ufer (1970–1981) und das Schauspielhaus Frankfurt mit Peter Palitzsch als zentr</w:t>
      </w:r>
      <w:r>
        <w:t>a</w:t>
      </w:r>
      <w:r>
        <w:t xml:space="preserve">ler Figur (1972–1980). </w:t>
      </w:r>
    </w:p>
    <w:p w:rsidR="00B00743" w:rsidRDefault="00B00743" w:rsidP="00B00743">
      <w:pPr>
        <w:pStyle w:val="dtext"/>
        <w:spacing w:after="0"/>
        <w:sectPr w:rsidR="00B00743" w:rsidSect="007E17B3">
          <w:type w:val="continuous"/>
          <w:pgSz w:w="11906" w:h="16838" w:code="9"/>
          <w:pgMar w:top="2268" w:right="1361" w:bottom="1871" w:left="3289" w:header="1021" w:footer="454" w:gutter="0"/>
          <w:cols w:num="2" w:space="709"/>
          <w:titlePg/>
          <w:docGrid w:linePitch="360"/>
        </w:sectPr>
      </w:pPr>
    </w:p>
    <w:p w:rsidR="00EB3FE0" w:rsidRPr="002F4D81" w:rsidRDefault="00EB3FE0" w:rsidP="00EB3FE0">
      <w:pPr>
        <w:pStyle w:val="dtext"/>
        <w:spacing w:after="0"/>
        <w:rPr>
          <w:b/>
          <w:color w:val="D6083B"/>
        </w:rPr>
      </w:pPr>
      <w:r w:rsidRPr="002F4D81">
        <w:rPr>
          <w:b/>
          <w:color w:val="D6083B"/>
        </w:rPr>
        <w:lastRenderedPageBreak/>
        <w:t>________________________________________________________________________</w:t>
      </w:r>
    </w:p>
    <w:p w:rsidR="00EB3FE0" w:rsidRPr="002A194C" w:rsidRDefault="00EB3FE0" w:rsidP="00EB3FE0">
      <w:pPr>
        <w:pStyle w:val="dtext"/>
        <w:spacing w:after="0"/>
        <w:rPr>
          <w:b/>
          <w:color w:val="FF0000"/>
        </w:rPr>
      </w:pPr>
    </w:p>
    <w:p w:rsidR="00B00743" w:rsidRDefault="00044B0D" w:rsidP="00EB3FE0">
      <w:pPr>
        <w:pStyle w:val="dtiteltext"/>
        <w:ind w:left="-2268"/>
      </w:pPr>
      <w:bookmarkStart w:id="0" w:name="_GoBack"/>
      <w:bookmarkEnd w:id="0"/>
      <w:r>
        <w:tab/>
      </w:r>
      <w:r w:rsidR="00B00743">
        <w:t xml:space="preserve">Praxisbeispiel </w:t>
      </w:r>
      <w:r w:rsidR="00F13D73">
        <w:t>–</w:t>
      </w:r>
      <w:r w:rsidR="00B00743">
        <w:t xml:space="preserve"> Ariane Mnouchkine und das Théâtre du Soleil </w:t>
      </w:r>
    </w:p>
    <w:p w:rsidR="00B00743" w:rsidRDefault="00B00743" w:rsidP="00B00743">
      <w:pPr>
        <w:pStyle w:val="dtext"/>
        <w:spacing w:after="0"/>
        <w:sectPr w:rsidR="00B00743" w:rsidSect="007E17B3">
          <w:type w:val="continuous"/>
          <w:pgSz w:w="11906" w:h="16838" w:code="9"/>
          <w:pgMar w:top="2268" w:right="1361" w:bottom="1871" w:left="3289" w:header="1021" w:footer="454" w:gutter="0"/>
          <w:cols w:space="227"/>
          <w:titlePg/>
          <w:docGrid w:linePitch="360"/>
        </w:sectPr>
      </w:pPr>
    </w:p>
    <w:p w:rsidR="00B00743" w:rsidRDefault="00B00743" w:rsidP="00B00743">
      <w:pPr>
        <w:pStyle w:val="dtext"/>
        <w:spacing w:after="0"/>
      </w:pPr>
      <w:r>
        <w:lastRenderedPageBreak/>
        <w:t>Eines der bekanntesten Theaterkollekt</w:t>
      </w:r>
      <w:r>
        <w:t>i</w:t>
      </w:r>
      <w:r>
        <w:t>ve ist das Théâtre du Soleil, das in den 1970ern für die Methode der „Création Collective“, der gleichberechtigten, ko</w:t>
      </w:r>
      <w:r>
        <w:t>l</w:t>
      </w:r>
      <w:r>
        <w:t>lektiven Arbeit aller Beteiligten an der Entwicklung der Stücke, bekannt wurde. Gegründet wurde das Kollektiv 1964 von der französischen Theatermach</w:t>
      </w:r>
      <w:r w:rsidR="007423DF">
        <w:t>erin Ariane Mnouchkine (</w:t>
      </w:r>
      <w:r>
        <w:t>1939) und einigen ihrer Mitstreiter aus der Studententhe</w:t>
      </w:r>
      <w:r>
        <w:t>a</w:t>
      </w:r>
      <w:r>
        <w:t>ter-Szene. Die Gruppe besetzte 1970 in einer Pariser Vorstadt eine riesige Fa</w:t>
      </w:r>
      <w:r>
        <w:t>b</w:t>
      </w:r>
      <w:r>
        <w:t xml:space="preserve">rikhalle, die Cartoucherie de Vincennes, die ihr später von der Stadt zu einem symbolischen Mitpreis überlassen </w:t>
      </w:r>
      <w:r w:rsidR="00F13D73">
        <w:t xml:space="preserve">wurde </w:t>
      </w:r>
      <w:r>
        <w:lastRenderedPageBreak/>
        <w:t>und auch heute noch das Th</w:t>
      </w:r>
      <w:r w:rsidR="00EA1133">
        <w:t>éâ</w:t>
      </w:r>
      <w:r>
        <w:t xml:space="preserve">tre du Soleil beherbergt. Beispielhafte Arbeiten sind </w:t>
      </w:r>
      <w:r>
        <w:rPr>
          <w:i/>
        </w:rPr>
        <w:t>1789</w:t>
      </w:r>
      <w:r>
        <w:t xml:space="preserve"> (1970/71) und </w:t>
      </w:r>
      <w:r>
        <w:rPr>
          <w:i/>
        </w:rPr>
        <w:t>1793</w:t>
      </w:r>
      <w:r>
        <w:t xml:space="preserve"> (1972/73) – zwei Stücke über die Französische Revolution –, </w:t>
      </w:r>
      <w:r>
        <w:rPr>
          <w:i/>
        </w:rPr>
        <w:t>Le Dernier Caravansérail</w:t>
      </w:r>
      <w:r>
        <w:t xml:space="preserve"> (2003) und </w:t>
      </w:r>
      <w:r>
        <w:rPr>
          <w:i/>
        </w:rPr>
        <w:t>Les Ephémères</w:t>
      </w:r>
      <w:r>
        <w:t xml:space="preserve"> (2006). Das Theaterkollektiv besteht heute aus über dreißig Menschen, die gemeinsam als Kommune in der Cartoucherie leben und arbeiten. Die Mitglieder des Theater</w:t>
      </w:r>
      <w:r w:rsidR="00F13D73">
        <w:t>s</w:t>
      </w:r>
      <w:r>
        <w:t xml:space="preserve"> sind zu gleichen Anteilen Eigentümer des Theaters</w:t>
      </w:r>
      <w:r w:rsidR="00F13D73">
        <w:t>.</w:t>
      </w:r>
      <w:r>
        <w:t xml:space="preserve"> Schauspieler und Bü</w:t>
      </w:r>
      <w:r>
        <w:t>h</w:t>
      </w:r>
      <w:r>
        <w:t>nenarbeiter erhalten die gleiche Gage. Besonderheiten der künstlerischen A</w:t>
      </w:r>
      <w:r>
        <w:t>r</w:t>
      </w:r>
      <w:r>
        <w:t>beit der Gruppe sind:</w:t>
      </w:r>
    </w:p>
    <w:p w:rsidR="00B00743" w:rsidRDefault="00EA1133" w:rsidP="00B00743">
      <w:pPr>
        <w:pStyle w:val="dtext"/>
        <w:spacing w:after="0"/>
      </w:pPr>
      <w:r w:rsidRPr="002F4D81">
        <w:rPr>
          <w:rStyle w:val="dpfeil"/>
          <w:color w:val="D6083B"/>
        </w:rPr>
        <w:lastRenderedPageBreak/>
        <w:t>&gt;</w:t>
      </w:r>
      <w:r>
        <w:t xml:space="preserve"> </w:t>
      </w:r>
      <w:r w:rsidR="00B00743">
        <w:t xml:space="preserve">Zu Beginn der Entwicklungsphase eignen sich alle Beteiligten durch eine intensive Lektüre gemeinsam Wissen zum Thema des Stücks an. </w:t>
      </w:r>
    </w:p>
    <w:p w:rsidR="00B00743" w:rsidRDefault="00EA1133" w:rsidP="00B00743">
      <w:pPr>
        <w:pStyle w:val="dtext"/>
        <w:spacing w:after="0"/>
      </w:pPr>
      <w:r w:rsidRPr="002F4D81">
        <w:rPr>
          <w:rStyle w:val="dpfeil"/>
          <w:color w:val="D6083B"/>
        </w:rPr>
        <w:t>&gt;</w:t>
      </w:r>
      <w:r>
        <w:t xml:space="preserve"> </w:t>
      </w:r>
      <w:r w:rsidR="00B00743">
        <w:t xml:space="preserve">Handlung, Figuren und Texte werden oft im gemeinschaftlichen Improvisieren entwickelt. </w:t>
      </w:r>
    </w:p>
    <w:p w:rsidR="00B00743" w:rsidRDefault="00EA1133" w:rsidP="00B00743">
      <w:pPr>
        <w:pStyle w:val="dtext"/>
        <w:spacing w:after="0"/>
      </w:pPr>
      <w:r w:rsidRPr="002F4D81">
        <w:rPr>
          <w:rStyle w:val="dpfeil"/>
          <w:color w:val="D6083B"/>
        </w:rPr>
        <w:t>&gt;</w:t>
      </w:r>
      <w:r>
        <w:t xml:space="preserve"> </w:t>
      </w:r>
      <w:r w:rsidR="00B00743">
        <w:t>Die zentrale Person Ariane Mnouchk</w:t>
      </w:r>
      <w:r w:rsidR="00B00743">
        <w:t>i</w:t>
      </w:r>
      <w:r w:rsidR="00B00743">
        <w:t>ne agiert nicht als klassische Regisse</w:t>
      </w:r>
      <w:r w:rsidR="00B00743">
        <w:t>u</w:t>
      </w:r>
      <w:r w:rsidR="00B00743">
        <w:t>rin, sondern leitet als gleichberechtigte Partnerin den Prozess an und lockt das schöpferische Potenzial der Beteiligten hervor.</w:t>
      </w:r>
    </w:p>
    <w:p w:rsidR="00B00743" w:rsidRDefault="00EA1133" w:rsidP="00B00743">
      <w:pPr>
        <w:pStyle w:val="dtext"/>
        <w:spacing w:after="0"/>
      </w:pPr>
      <w:r w:rsidRPr="002F4D81">
        <w:rPr>
          <w:rStyle w:val="dpfeil"/>
          <w:color w:val="D6083B"/>
        </w:rPr>
        <w:t>&gt;</w:t>
      </w:r>
      <w:r>
        <w:t xml:space="preserve"> </w:t>
      </w:r>
      <w:r w:rsidR="00B00743">
        <w:t>Die Darsteller agieren in mehreren Rollen, bevor die endgültige Besetzung festlegt wird.</w:t>
      </w:r>
    </w:p>
    <w:p w:rsidR="00B00743" w:rsidRDefault="00EA1133" w:rsidP="00B00743">
      <w:pPr>
        <w:pStyle w:val="dtext"/>
        <w:spacing w:after="0"/>
      </w:pPr>
      <w:r w:rsidRPr="002F4D81">
        <w:rPr>
          <w:rStyle w:val="dpfeil"/>
          <w:color w:val="D6083B"/>
        </w:rPr>
        <w:t>&gt;</w:t>
      </w:r>
      <w:r>
        <w:t xml:space="preserve"> </w:t>
      </w:r>
      <w:r w:rsidR="00B00743">
        <w:t xml:space="preserve">Erst im späten Probenprozess greift Mnouchkine ein, um das gefundene </w:t>
      </w:r>
      <w:r w:rsidR="00B00743">
        <w:lastRenderedPageBreak/>
        <w:t>Material auszuwerten und zu strukturi</w:t>
      </w:r>
      <w:r w:rsidR="00B00743">
        <w:t>e</w:t>
      </w:r>
      <w:r w:rsidR="00B00743">
        <w:t>ren.</w:t>
      </w:r>
    </w:p>
    <w:p w:rsidR="00B00743" w:rsidRDefault="00EA1133" w:rsidP="00B00743">
      <w:pPr>
        <w:pStyle w:val="dtext"/>
        <w:spacing w:after="0"/>
      </w:pPr>
      <w:r w:rsidRPr="002F4D81">
        <w:rPr>
          <w:rStyle w:val="dpfeil"/>
          <w:color w:val="D6083B"/>
        </w:rPr>
        <w:t>&gt;</w:t>
      </w:r>
      <w:r>
        <w:t xml:space="preserve"> </w:t>
      </w:r>
      <w:r w:rsidR="00B00743">
        <w:t>Oft spielt die aktive Einbeziehung der Zuschauer eine Rolle, um beim Publ</w:t>
      </w:r>
      <w:r w:rsidR="00B00743">
        <w:t>i</w:t>
      </w:r>
      <w:r w:rsidR="00B00743">
        <w:t>kum intensive Denk- und Lernprozesse anzustoßen.</w:t>
      </w:r>
    </w:p>
    <w:p w:rsidR="00EA1133" w:rsidRDefault="00EA1133" w:rsidP="00B00743">
      <w:pPr>
        <w:pStyle w:val="dtext"/>
        <w:spacing w:after="0"/>
      </w:pPr>
    </w:p>
    <w:p w:rsidR="00B00743" w:rsidRDefault="00B00743" w:rsidP="00B00743">
      <w:pPr>
        <w:pStyle w:val="dtext"/>
        <w:spacing w:after="0"/>
      </w:pPr>
      <w:r>
        <w:t>Die entwickelten Stücke beziehen vielfä</w:t>
      </w:r>
      <w:r>
        <w:t>l</w:t>
      </w:r>
      <w:r>
        <w:t>tige Elemente aus unterschiedlichsten Theaterformen mit ein:</w:t>
      </w:r>
      <w:r w:rsidR="00F13D73">
        <w:t xml:space="preserve"> Figuren der Commedia dell’A</w:t>
      </w:r>
      <w:r w:rsidR="00EA1133">
        <w:t>rte</w:t>
      </w:r>
      <w:r>
        <w:t>, die Arbeit mit Ma</w:t>
      </w:r>
      <w:r>
        <w:t>s</w:t>
      </w:r>
      <w:r>
        <w:t>ken und Maskerade, Akrobatik und Pa</w:t>
      </w:r>
      <w:r>
        <w:t>n</w:t>
      </w:r>
      <w:r>
        <w:t>tomime, sowie Einflüsse aus fernöstl</w:t>
      </w:r>
      <w:r>
        <w:t>i</w:t>
      </w:r>
      <w:r>
        <w:t>chen Theaterformen wie dem Kathakali (indischer Tanz), dem Kabuki (japan</w:t>
      </w:r>
      <w:r>
        <w:t>i</w:t>
      </w:r>
      <w:r>
        <w:t>sche Theaterform mit Tanz und Gesang) oder dem Nô-Theater (japanisches Ma</w:t>
      </w:r>
      <w:r>
        <w:t>s</w:t>
      </w:r>
      <w:r>
        <w:t xml:space="preserve">kentheater). </w:t>
      </w:r>
    </w:p>
    <w:p w:rsidR="00B00743" w:rsidRDefault="00B00743" w:rsidP="00B00743">
      <w:pPr>
        <w:pStyle w:val="dtext"/>
        <w:spacing w:after="0"/>
        <w:sectPr w:rsidR="00B00743" w:rsidSect="00937FE1">
          <w:footerReference w:type="default" r:id="rId14"/>
          <w:type w:val="continuous"/>
          <w:pgSz w:w="11906" w:h="16838" w:code="9"/>
          <w:pgMar w:top="2268" w:right="1361" w:bottom="1871" w:left="3289" w:header="1021" w:footer="454" w:gutter="0"/>
          <w:cols w:num="2" w:space="709"/>
          <w:titlePg/>
          <w:docGrid w:linePitch="360"/>
        </w:sectPr>
      </w:pPr>
    </w:p>
    <w:p w:rsidR="00EB3FE0" w:rsidRPr="002F4D81" w:rsidRDefault="00EB3FE0" w:rsidP="00EB3FE0">
      <w:pPr>
        <w:pStyle w:val="dtext"/>
        <w:spacing w:after="0"/>
        <w:rPr>
          <w:b/>
          <w:color w:val="D6083B"/>
        </w:rPr>
      </w:pPr>
      <w:r w:rsidRPr="002F4D81">
        <w:rPr>
          <w:b/>
          <w:color w:val="D6083B"/>
        </w:rPr>
        <w:lastRenderedPageBreak/>
        <w:t>________________________________________________________________________</w:t>
      </w:r>
    </w:p>
    <w:p w:rsidR="00EB3FE0" w:rsidRPr="002A194C" w:rsidRDefault="00EB3FE0" w:rsidP="00EB3FE0">
      <w:pPr>
        <w:pStyle w:val="dtext"/>
        <w:spacing w:after="0"/>
        <w:rPr>
          <w:b/>
          <w:color w:val="FF0000"/>
        </w:rPr>
      </w:pPr>
    </w:p>
    <w:p w:rsidR="00B00743" w:rsidRDefault="00B00743" w:rsidP="00B00743">
      <w:pPr>
        <w:pStyle w:val="dtiteltext"/>
        <w:spacing w:after="120"/>
      </w:pPr>
      <w:r>
        <w:tab/>
        <w:t>Weiterführende Literatur</w:t>
      </w:r>
    </w:p>
    <w:p w:rsidR="00F13D73" w:rsidRDefault="00EA1133" w:rsidP="00EA1133">
      <w:pPr>
        <w:pStyle w:val="dtext"/>
        <w:spacing w:after="0"/>
      </w:pPr>
      <w:r w:rsidRPr="002F4D81">
        <w:rPr>
          <w:rStyle w:val="dpfeil"/>
          <w:color w:val="D6083B"/>
        </w:rPr>
        <w:t>&gt;</w:t>
      </w:r>
      <w:r>
        <w:t xml:space="preserve"> </w:t>
      </w:r>
      <w:r w:rsidR="00B00743">
        <w:t>Simhandel, Peter: Theatergeschichte in einem Band. 3. Überarbeitete Auflage</w:t>
      </w:r>
      <w:r w:rsidR="00F13D73">
        <w:t>.</w:t>
      </w:r>
      <w:r w:rsidR="00B00743">
        <w:t xml:space="preserve"> Henschel Verlag, Berlin 2007</w:t>
      </w:r>
      <w:r w:rsidR="00F13D73">
        <w:t>,</w:t>
      </w:r>
      <w:r w:rsidR="00B00743">
        <w:t xml:space="preserve"> S.451–458</w:t>
      </w:r>
      <w:r w:rsidR="00F13D73">
        <w:t xml:space="preserve"> („Ariane Mnouchkine und das Théâtre du Soleil“)</w:t>
      </w:r>
      <w:r w:rsidR="00B00743">
        <w:t>.</w:t>
      </w:r>
    </w:p>
    <w:p w:rsidR="004F2309" w:rsidRDefault="00EA1133" w:rsidP="00EA1133">
      <w:pPr>
        <w:pStyle w:val="dtext"/>
        <w:spacing w:after="0"/>
      </w:pPr>
      <w:r w:rsidRPr="002F4D81">
        <w:rPr>
          <w:rStyle w:val="dpfeil"/>
          <w:color w:val="D6083B"/>
        </w:rPr>
        <w:t>&gt;</w:t>
      </w:r>
      <w:r>
        <w:t xml:space="preserve"> </w:t>
      </w:r>
      <w:hyperlink r:id="rId15" w:history="1">
        <w:r w:rsidR="00B00743" w:rsidRPr="00D75F92">
          <w:rPr>
            <w:rStyle w:val="Hyperlink"/>
            <w:color w:val="auto"/>
            <w:sz w:val="20"/>
            <w:szCs w:val="26"/>
            <w:u w:val="none"/>
          </w:rPr>
          <w:t>www.theatre-du-soleil.fr</w:t>
        </w:r>
      </w:hyperlink>
    </w:p>
    <w:sectPr w:rsidR="004F2309" w:rsidSect="007E17B3">
      <w:type w:val="continuous"/>
      <w:pgSz w:w="11906" w:h="16838" w:code="9"/>
      <w:pgMar w:top="2268" w:right="1361" w:bottom="1871" w:left="3289" w:header="1021" w:footer="454" w:gutter="0"/>
      <w:cols w:space="22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D1A92">
      <w:r>
        <w:separator/>
      </w:r>
    </w:p>
  </w:endnote>
  <w:endnote w:type="continuationSeparator" w:id="0">
    <w:p w:rsidR="00000000" w:rsidRDefault="004D1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2478" w:type="dxa"/>
      <w:tblLayout w:type="fixed"/>
      <w:tblLook w:val="01E0" w:firstRow="1" w:lastRow="1" w:firstColumn="1" w:lastColumn="1" w:noHBand="0" w:noVBand="0"/>
    </w:tblPr>
    <w:tblGrid>
      <w:gridCol w:w="10773"/>
    </w:tblGrid>
    <w:tr w:rsidR="00654D71" w:rsidRPr="00481E9A">
      <w:trPr>
        <w:trHeight w:val="340"/>
      </w:trPr>
      <w:tc>
        <w:tcPr>
          <w:tcW w:w="10773" w:type="dxa"/>
          <w:vAlign w:val="center"/>
        </w:tcPr>
        <w:p w:rsidR="00654D71" w:rsidRPr="00481E9A" w:rsidRDefault="00654D71" w:rsidP="00481E9A">
          <w:r w:rsidRPr="00481E9A">
            <w:fldChar w:fldCharType="begin"/>
          </w:r>
          <w:r w:rsidRPr="00481E9A">
            <w:instrText xml:space="preserve"> PAGE </w:instrText>
          </w:r>
          <w:r w:rsidRPr="00481E9A">
            <w:fldChar w:fldCharType="separate"/>
          </w:r>
          <w:r w:rsidR="004D1A92">
            <w:rPr>
              <w:noProof/>
            </w:rPr>
            <w:t>3</w:t>
          </w:r>
          <w:r w:rsidRPr="00481E9A">
            <w:fldChar w:fldCharType="end"/>
          </w:r>
        </w:p>
      </w:tc>
    </w:tr>
    <w:tr w:rsidR="00654D71" w:rsidRPr="00481E9A">
      <w:trPr>
        <w:trHeight w:val="340"/>
      </w:trPr>
      <w:tc>
        <w:tcPr>
          <w:tcW w:w="10773" w:type="dxa"/>
          <w:shd w:val="clear" w:color="auto" w:fill="D9D9D9"/>
          <w:vAlign w:val="center"/>
        </w:tcPr>
        <w:p w:rsidR="00654D71" w:rsidRDefault="00654D71" w:rsidP="00481E9A">
          <w:r w:rsidRPr="00481E9A">
            <w:t>Text Fußzeile</w:t>
          </w:r>
        </w:p>
      </w:tc>
    </w:tr>
  </w:tbl>
  <w:p w:rsidR="00654D71" w:rsidRDefault="00654D71" w:rsidP="00481E9A">
    <w:pPr>
      <w:pStyle w:val="d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654D71">
      <w:tblPrEx>
        <w:tblCellMar>
          <w:top w:w="0" w:type="dxa"/>
          <w:left w:w="0" w:type="dxa"/>
          <w:bottom w:w="0" w:type="dxa"/>
          <w:right w:w="0" w:type="dxa"/>
        </w:tblCellMar>
      </w:tblPrEx>
      <w:tc>
        <w:tcPr>
          <w:tcW w:w="1077" w:type="dxa"/>
          <w:vAlign w:val="bottom"/>
        </w:tcPr>
        <w:p w:rsidR="00654D71" w:rsidRDefault="003C0363" w:rsidP="0029137E">
          <w:pPr>
            <w:pStyle w:val="dfusszeile"/>
            <w:spacing w:line="240" w:lineRule="auto"/>
          </w:pPr>
          <w:r>
            <w:drawing>
              <wp:inline distT="0" distB="0" distL="0" distR="0" wp14:anchorId="7F610BF2" wp14:editId="491442F7">
                <wp:extent cx="469900" cy="241300"/>
                <wp:effectExtent l="0" t="0" r="6350" b="6350"/>
                <wp:docPr id="1"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241300"/>
                        </a:xfrm>
                        <a:prstGeom prst="rect">
                          <a:avLst/>
                        </a:prstGeom>
                        <a:noFill/>
                        <a:ln>
                          <a:noFill/>
                        </a:ln>
                      </pic:spPr>
                    </pic:pic>
                  </a:graphicData>
                </a:graphic>
              </wp:inline>
            </w:drawing>
          </w:r>
        </w:p>
      </w:tc>
      <w:tc>
        <w:tcPr>
          <w:tcW w:w="5387" w:type="dxa"/>
          <w:tcBorders>
            <w:top w:val="single" w:sz="4" w:space="0" w:color="auto"/>
          </w:tcBorders>
          <w:vAlign w:val="bottom"/>
        </w:tcPr>
        <w:p w:rsidR="00654D71" w:rsidRDefault="00654D71" w:rsidP="001B226C">
          <w:pPr>
            <w:pStyle w:val="dfusszeile"/>
          </w:pPr>
          <w:r>
            <w:t xml:space="preserve">© Ernst Klett Verlag GmbH, Stuttgart </w:t>
          </w:r>
          <w:r w:rsidR="001B226C">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654D71" w:rsidRDefault="00654D71" w:rsidP="00654D71">
          <w:pPr>
            <w:pStyle w:val="dfusszeile"/>
          </w:pPr>
          <w:r>
            <w:t>zu Darstellendes Spiel</w:t>
          </w:r>
        </w:p>
        <w:p w:rsidR="00654D71" w:rsidRDefault="001B226C" w:rsidP="0029137E">
          <w:pPr>
            <w:pStyle w:val="dfusszeile"/>
            <w:spacing w:line="240" w:lineRule="auto"/>
          </w:pPr>
          <w:r>
            <w:t>ISBN: 978-3-12-350467-9</w:t>
          </w:r>
        </w:p>
      </w:tc>
      <w:tc>
        <w:tcPr>
          <w:tcW w:w="404" w:type="dxa"/>
          <w:tcBorders>
            <w:top w:val="single" w:sz="4" w:space="0" w:color="auto"/>
          </w:tcBorders>
          <w:vAlign w:val="bottom"/>
        </w:tcPr>
        <w:p w:rsidR="00654D71" w:rsidRPr="00654D71" w:rsidRDefault="00654D71" w:rsidP="00654D71">
          <w:pPr>
            <w:pStyle w:val="dpagina"/>
          </w:pPr>
          <w:r w:rsidRPr="00654D71">
            <w:fldChar w:fldCharType="begin"/>
          </w:r>
          <w:r w:rsidRPr="00654D71">
            <w:instrText xml:space="preserve"> PAGE  \* MERGEFORMAT </w:instrText>
          </w:r>
          <w:r w:rsidRPr="00654D71">
            <w:fldChar w:fldCharType="separate"/>
          </w:r>
          <w:r w:rsidR="004D1A92">
            <w:rPr>
              <w:noProof/>
            </w:rPr>
            <w:t>3</w:t>
          </w:r>
          <w:r w:rsidRPr="00654D71">
            <w:fldChar w:fldCharType="end"/>
          </w:r>
        </w:p>
      </w:tc>
    </w:tr>
  </w:tbl>
  <w:p w:rsidR="00654D71" w:rsidRDefault="00654D71" w:rsidP="00A669A4">
    <w:pPr>
      <w:pStyle w:val="dfuss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D1213E">
      <w:tblPrEx>
        <w:tblCellMar>
          <w:top w:w="0" w:type="dxa"/>
          <w:left w:w="0" w:type="dxa"/>
          <w:bottom w:w="0" w:type="dxa"/>
          <w:right w:w="0" w:type="dxa"/>
        </w:tblCellMar>
      </w:tblPrEx>
      <w:tc>
        <w:tcPr>
          <w:tcW w:w="1077" w:type="dxa"/>
          <w:vAlign w:val="bottom"/>
        </w:tcPr>
        <w:p w:rsidR="00D1213E" w:rsidRDefault="003C0363" w:rsidP="00937FE1">
          <w:pPr>
            <w:pStyle w:val="dfusszeile"/>
            <w:spacing w:line="240" w:lineRule="auto"/>
          </w:pPr>
          <w:r>
            <w:drawing>
              <wp:inline distT="0" distB="0" distL="0" distR="0" wp14:anchorId="14CF02FE" wp14:editId="64B27A13">
                <wp:extent cx="469900" cy="241300"/>
                <wp:effectExtent l="0" t="0" r="6350" b="6350"/>
                <wp:docPr id="2" name="Bild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241300"/>
                        </a:xfrm>
                        <a:prstGeom prst="rect">
                          <a:avLst/>
                        </a:prstGeom>
                        <a:noFill/>
                        <a:ln>
                          <a:noFill/>
                        </a:ln>
                      </pic:spPr>
                    </pic:pic>
                  </a:graphicData>
                </a:graphic>
              </wp:inline>
            </w:drawing>
          </w:r>
        </w:p>
      </w:tc>
      <w:tc>
        <w:tcPr>
          <w:tcW w:w="5387" w:type="dxa"/>
          <w:tcBorders>
            <w:top w:val="single" w:sz="4" w:space="0" w:color="auto"/>
          </w:tcBorders>
          <w:vAlign w:val="bottom"/>
        </w:tcPr>
        <w:p w:rsidR="00D1213E" w:rsidRDefault="00D1213E" w:rsidP="001B226C">
          <w:pPr>
            <w:pStyle w:val="dfusszeile"/>
          </w:pPr>
          <w:r>
            <w:t xml:space="preserve">© Ernst Klett Verlag GmbH, Stuttgart </w:t>
          </w:r>
          <w:r w:rsidR="001B226C">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D1213E" w:rsidRDefault="00D1213E" w:rsidP="00937FE1">
          <w:pPr>
            <w:pStyle w:val="dfusszeile"/>
          </w:pPr>
          <w:r>
            <w:t>zu Darstellendes Spiel</w:t>
          </w:r>
        </w:p>
        <w:p w:rsidR="00D1213E" w:rsidRDefault="001B226C" w:rsidP="00937FE1">
          <w:pPr>
            <w:pStyle w:val="dfusszeile"/>
            <w:spacing w:line="240" w:lineRule="auto"/>
          </w:pPr>
          <w:r>
            <w:t>ISBN: 978-3-12-350467-9</w:t>
          </w:r>
        </w:p>
      </w:tc>
      <w:tc>
        <w:tcPr>
          <w:tcW w:w="404" w:type="dxa"/>
          <w:tcBorders>
            <w:top w:val="single" w:sz="4" w:space="0" w:color="auto"/>
          </w:tcBorders>
          <w:vAlign w:val="bottom"/>
        </w:tcPr>
        <w:p w:rsidR="00D1213E" w:rsidRPr="00654D71" w:rsidRDefault="00D1213E" w:rsidP="00937FE1">
          <w:pPr>
            <w:pStyle w:val="dpagina"/>
          </w:pPr>
          <w:r w:rsidRPr="00654D71">
            <w:fldChar w:fldCharType="begin"/>
          </w:r>
          <w:r w:rsidRPr="00654D71">
            <w:instrText xml:space="preserve"> PAGE  \* MERGEFORMAT </w:instrText>
          </w:r>
          <w:r w:rsidRPr="00654D71">
            <w:fldChar w:fldCharType="separate"/>
          </w:r>
          <w:r w:rsidR="004D1A92">
            <w:rPr>
              <w:noProof/>
            </w:rPr>
            <w:t>3</w:t>
          </w:r>
          <w:r w:rsidRPr="00654D71">
            <w:fldChar w:fldCharType="end"/>
          </w:r>
        </w:p>
      </w:tc>
    </w:tr>
  </w:tbl>
  <w:p w:rsidR="00D1213E" w:rsidRDefault="00D1213E" w:rsidP="00D1213E">
    <w:pPr>
      <w:pStyle w:val="dfuss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Ind w:w="-1077" w:type="dxa"/>
      <w:tblLayout w:type="fixed"/>
      <w:tblCellMar>
        <w:left w:w="0" w:type="dxa"/>
        <w:right w:w="0" w:type="dxa"/>
      </w:tblCellMar>
      <w:tblLook w:val="0000" w:firstRow="0" w:lastRow="0" w:firstColumn="0" w:lastColumn="0" w:noHBand="0" w:noVBand="0"/>
    </w:tblPr>
    <w:tblGrid>
      <w:gridCol w:w="1077"/>
      <w:gridCol w:w="5387"/>
      <w:gridCol w:w="1864"/>
      <w:gridCol w:w="404"/>
    </w:tblGrid>
    <w:tr w:rsidR="00D1213E">
      <w:tblPrEx>
        <w:tblCellMar>
          <w:top w:w="0" w:type="dxa"/>
          <w:left w:w="0" w:type="dxa"/>
          <w:bottom w:w="0" w:type="dxa"/>
          <w:right w:w="0" w:type="dxa"/>
        </w:tblCellMar>
      </w:tblPrEx>
      <w:tc>
        <w:tcPr>
          <w:tcW w:w="1077" w:type="dxa"/>
          <w:vAlign w:val="bottom"/>
        </w:tcPr>
        <w:p w:rsidR="00D1213E" w:rsidRDefault="003C0363" w:rsidP="00937FE1">
          <w:pPr>
            <w:pStyle w:val="dfusszeile"/>
            <w:spacing w:line="240" w:lineRule="auto"/>
          </w:pPr>
          <w:r>
            <w:drawing>
              <wp:inline distT="0" distB="0" distL="0" distR="0" wp14:anchorId="18A447F9" wp14:editId="7169E868">
                <wp:extent cx="469900" cy="241300"/>
                <wp:effectExtent l="0" t="0" r="6350" b="6350"/>
                <wp:docPr id="3" name="Bild 3"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241300"/>
                        </a:xfrm>
                        <a:prstGeom prst="rect">
                          <a:avLst/>
                        </a:prstGeom>
                        <a:noFill/>
                        <a:ln>
                          <a:noFill/>
                        </a:ln>
                      </pic:spPr>
                    </pic:pic>
                  </a:graphicData>
                </a:graphic>
              </wp:inline>
            </w:drawing>
          </w:r>
        </w:p>
      </w:tc>
      <w:tc>
        <w:tcPr>
          <w:tcW w:w="5387" w:type="dxa"/>
          <w:tcBorders>
            <w:top w:val="single" w:sz="4" w:space="0" w:color="auto"/>
          </w:tcBorders>
          <w:vAlign w:val="bottom"/>
        </w:tcPr>
        <w:p w:rsidR="00D1213E" w:rsidRDefault="00D1213E" w:rsidP="001B226C">
          <w:pPr>
            <w:pStyle w:val="dfusszeile"/>
          </w:pPr>
          <w:r>
            <w:t xml:space="preserve">© Ernst Klett Verlag GmbH, Stuttgart </w:t>
          </w:r>
          <w:r w:rsidR="001B226C">
            <w:t>2018</w:t>
          </w:r>
          <w:r>
            <w:t>. | www.klett.de</w:t>
          </w:r>
          <w:r>
            <w:br/>
            <w:t xml:space="preserve">Alle Rechte vorbehalten. Von dieser Druckvorlage ist die Vervielfältigung für den </w:t>
          </w:r>
          <w:r>
            <w:br/>
            <w:t>eigenen Unterrichtsgebrauch gestattet. Die Kopiergebühren sind abgegolten..</w:t>
          </w:r>
        </w:p>
      </w:tc>
      <w:tc>
        <w:tcPr>
          <w:tcW w:w="1864" w:type="dxa"/>
          <w:tcBorders>
            <w:top w:val="single" w:sz="4" w:space="0" w:color="auto"/>
          </w:tcBorders>
          <w:vAlign w:val="bottom"/>
        </w:tcPr>
        <w:p w:rsidR="00D1213E" w:rsidRDefault="00D1213E" w:rsidP="00937FE1">
          <w:pPr>
            <w:pStyle w:val="dfusszeile"/>
          </w:pPr>
          <w:r>
            <w:t>zu Darstellendes Spiel</w:t>
          </w:r>
        </w:p>
        <w:p w:rsidR="00D1213E" w:rsidRDefault="001B226C" w:rsidP="00937FE1">
          <w:pPr>
            <w:pStyle w:val="dfusszeile"/>
            <w:spacing w:line="240" w:lineRule="auto"/>
          </w:pPr>
          <w:r>
            <w:t>ISBN: 978-3-12-350467-9</w:t>
          </w:r>
        </w:p>
      </w:tc>
      <w:tc>
        <w:tcPr>
          <w:tcW w:w="404" w:type="dxa"/>
          <w:tcBorders>
            <w:top w:val="single" w:sz="4" w:space="0" w:color="auto"/>
          </w:tcBorders>
          <w:vAlign w:val="bottom"/>
        </w:tcPr>
        <w:p w:rsidR="00D1213E" w:rsidRPr="00654D71" w:rsidRDefault="00D1213E" w:rsidP="00937FE1">
          <w:pPr>
            <w:pStyle w:val="dpagina"/>
          </w:pPr>
          <w:r w:rsidRPr="00654D71">
            <w:fldChar w:fldCharType="begin"/>
          </w:r>
          <w:r w:rsidRPr="00654D71">
            <w:instrText xml:space="preserve"> PAGE  \* MERGEFORMAT </w:instrText>
          </w:r>
          <w:r w:rsidRPr="00654D71">
            <w:fldChar w:fldCharType="separate"/>
          </w:r>
          <w:r w:rsidR="004D1A92">
            <w:rPr>
              <w:noProof/>
            </w:rPr>
            <w:t>3</w:t>
          </w:r>
          <w:r w:rsidRPr="00654D71">
            <w:fldChar w:fldCharType="end"/>
          </w:r>
        </w:p>
      </w:tc>
    </w:tr>
  </w:tbl>
  <w:p w:rsidR="00D1213E" w:rsidRDefault="00D1213E" w:rsidP="00D1213E">
    <w:pPr>
      <w:pStyle w:val="d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D1A92">
      <w:r>
        <w:separator/>
      </w:r>
    </w:p>
  </w:footnote>
  <w:footnote w:type="continuationSeparator" w:id="0">
    <w:p w:rsidR="00000000" w:rsidRDefault="004D1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773" w:type="dxa"/>
      <w:tblInd w:w="-2478" w:type="dxa"/>
      <w:shd w:val="clear" w:color="auto" w:fill="CC0000"/>
      <w:tblLayout w:type="fixed"/>
      <w:tblLook w:val="01E0" w:firstRow="1" w:lastRow="1" w:firstColumn="1" w:lastColumn="1" w:noHBand="0" w:noVBand="0"/>
    </w:tblPr>
    <w:tblGrid>
      <w:gridCol w:w="10773"/>
    </w:tblGrid>
    <w:tr w:rsidR="00654D71">
      <w:trPr>
        <w:trHeight w:val="510"/>
      </w:trPr>
      <w:tc>
        <w:tcPr>
          <w:tcW w:w="10773" w:type="dxa"/>
          <w:shd w:val="clear" w:color="auto" w:fill="CC0000"/>
          <w:vAlign w:val="center"/>
        </w:tcPr>
        <w:p w:rsidR="00654D71" w:rsidRPr="00BA5E96" w:rsidRDefault="00654D71" w:rsidP="00BA5E96">
          <w:pPr>
            <w:pStyle w:val="dtext"/>
          </w:pPr>
        </w:p>
      </w:tc>
    </w:tr>
  </w:tbl>
  <w:p w:rsidR="00654D71" w:rsidRDefault="00654D71" w:rsidP="00BA5E96">
    <w:pPr>
      <w:pStyle w:val="d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Ind w:w="-3119" w:type="dxa"/>
      <w:shd w:val="clear" w:color="auto" w:fill="CC0000"/>
      <w:tblLayout w:type="fixed"/>
      <w:tblLook w:val="01E0" w:firstRow="1" w:lastRow="1" w:firstColumn="1" w:lastColumn="1" w:noHBand="0" w:noVBand="0"/>
    </w:tblPr>
    <w:tblGrid>
      <w:gridCol w:w="11567"/>
    </w:tblGrid>
    <w:tr w:rsidR="00654D71">
      <w:trPr>
        <w:trHeight w:hRule="exact" w:val="851"/>
      </w:trPr>
      <w:tc>
        <w:tcPr>
          <w:tcW w:w="11567" w:type="dxa"/>
          <w:shd w:val="clear" w:color="auto" w:fill="CC0000"/>
          <w:vAlign w:val="bottom"/>
        </w:tcPr>
        <w:p w:rsidR="00654D71" w:rsidRPr="00BA5E96" w:rsidRDefault="00654D71" w:rsidP="00BF5FA6">
          <w:pPr>
            <w:pStyle w:val="dkopf"/>
            <w:tabs>
              <w:tab w:val="clear" w:pos="0"/>
              <w:tab w:val="clear" w:pos="2722"/>
              <w:tab w:val="left" w:pos="2552"/>
            </w:tabs>
          </w:pPr>
          <w:r>
            <w:tab/>
          </w:r>
          <w:r w:rsidR="001B226C">
            <w:t xml:space="preserve">             </w:t>
          </w:r>
          <w:r w:rsidR="001B226C">
            <w:t>Grundkurs 2</w:t>
          </w:r>
          <w:r w:rsidR="001B226C">
            <w:t xml:space="preserve">: </w:t>
          </w:r>
          <w:r>
            <w:t>Ensemble</w:t>
          </w:r>
        </w:p>
      </w:tc>
    </w:tr>
  </w:tbl>
  <w:p w:rsidR="00654D71" w:rsidRPr="004C47F7" w:rsidRDefault="00654D71" w:rsidP="004C47F7">
    <w:pPr>
      <w:pStyle w:val="d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26C" w:rsidRDefault="00654D71" w:rsidP="000D7B21">
    <w:pPr>
      <w:pStyle w:val="dtitelkapitel"/>
    </w:pPr>
    <w:r>
      <w:tab/>
    </w:r>
    <w:r w:rsidR="001B226C">
      <w:t>Grundkurs 2:</w:t>
    </w:r>
  </w:p>
  <w:p w:rsidR="00654D71" w:rsidRDefault="001B226C" w:rsidP="000D7B21">
    <w:pPr>
      <w:pStyle w:val="dtitelkapitel"/>
    </w:pPr>
    <w:r>
      <w:tab/>
    </w:r>
    <w:r w:rsidR="00654D71" w:rsidRPr="00583662">
      <w:rPr>
        <w:color w:val="D6083B"/>
      </w:rPr>
      <w:t>Ensemble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nsid w:val="00000016"/>
    <w:multiLevelType w:val="singleLevel"/>
    <w:tmpl w:val="00000016"/>
    <w:name w:val="WW8Num22"/>
    <w:lvl w:ilvl="0">
      <w:start w:val="1"/>
      <w:numFmt w:val="bullet"/>
      <w:lvlText w:val=""/>
      <w:lvlJc w:val="left"/>
      <w:pPr>
        <w:tabs>
          <w:tab w:val="num" w:pos="720"/>
        </w:tabs>
        <w:ind w:left="720" w:hanging="360"/>
      </w:pPr>
      <w:rPr>
        <w:rFonts w:ascii="Symbol" w:hAnsi="Symbol"/>
      </w:rPr>
    </w:lvl>
  </w:abstractNum>
  <w:abstractNum w:abstractNumId="2">
    <w:nsid w:val="00000018"/>
    <w:multiLevelType w:val="singleLevel"/>
    <w:tmpl w:val="00000018"/>
    <w:name w:val="WW8Num24"/>
    <w:lvl w:ilvl="0">
      <w:numFmt w:val="bullet"/>
      <w:lvlText w:val="-"/>
      <w:lvlJc w:val="left"/>
      <w:pPr>
        <w:tabs>
          <w:tab w:val="num" w:pos="720"/>
        </w:tabs>
        <w:ind w:left="720" w:hanging="360"/>
      </w:pPr>
      <w:rPr>
        <w:rFonts w:ascii="Helvetica" w:hAnsi="Helvetic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noPunctuationKerning/>
  <w:characterSpacingControl w:val="doNotCompress"/>
  <w:hdrShapeDefaults>
    <o:shapedefaults v:ext="edit" spidmax="3074">
      <o:colormru v:ext="edit" colors="#c00"/>
      <o:colormenu v:ext="edit" fillcolor="#c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D5"/>
    <w:rsid w:val="0003546B"/>
    <w:rsid w:val="00044B0D"/>
    <w:rsid w:val="000D3E6F"/>
    <w:rsid w:val="000D7B21"/>
    <w:rsid w:val="000E7494"/>
    <w:rsid w:val="00121EDE"/>
    <w:rsid w:val="00124A5E"/>
    <w:rsid w:val="001474A2"/>
    <w:rsid w:val="001A33AC"/>
    <w:rsid w:val="001B0F3D"/>
    <w:rsid w:val="001B226C"/>
    <w:rsid w:val="001D6503"/>
    <w:rsid w:val="001F1F64"/>
    <w:rsid w:val="00222168"/>
    <w:rsid w:val="00267BAF"/>
    <w:rsid w:val="0029137E"/>
    <w:rsid w:val="00296B23"/>
    <w:rsid w:val="002A194C"/>
    <w:rsid w:val="002D5B00"/>
    <w:rsid w:val="002F4D81"/>
    <w:rsid w:val="002F7A5F"/>
    <w:rsid w:val="00321936"/>
    <w:rsid w:val="00356E14"/>
    <w:rsid w:val="00360AD4"/>
    <w:rsid w:val="00366044"/>
    <w:rsid w:val="00374418"/>
    <w:rsid w:val="003C0363"/>
    <w:rsid w:val="004047B2"/>
    <w:rsid w:val="00433C44"/>
    <w:rsid w:val="004375F9"/>
    <w:rsid w:val="0047070F"/>
    <w:rsid w:val="00475C96"/>
    <w:rsid w:val="00481E9A"/>
    <w:rsid w:val="004923C4"/>
    <w:rsid w:val="00492EC1"/>
    <w:rsid w:val="004A795D"/>
    <w:rsid w:val="004C47F7"/>
    <w:rsid w:val="004D1A92"/>
    <w:rsid w:val="004F2309"/>
    <w:rsid w:val="0056077B"/>
    <w:rsid w:val="00583662"/>
    <w:rsid w:val="005B56E4"/>
    <w:rsid w:val="005B59E5"/>
    <w:rsid w:val="005B5DAA"/>
    <w:rsid w:val="005F6E4B"/>
    <w:rsid w:val="00611228"/>
    <w:rsid w:val="00654D71"/>
    <w:rsid w:val="006759CF"/>
    <w:rsid w:val="006E6819"/>
    <w:rsid w:val="007423DF"/>
    <w:rsid w:val="00757415"/>
    <w:rsid w:val="00761E93"/>
    <w:rsid w:val="0079669D"/>
    <w:rsid w:val="007B0B7D"/>
    <w:rsid w:val="007B124E"/>
    <w:rsid w:val="007D3FDB"/>
    <w:rsid w:val="007E17B3"/>
    <w:rsid w:val="007E6F4C"/>
    <w:rsid w:val="00822145"/>
    <w:rsid w:val="0082556A"/>
    <w:rsid w:val="00840B8A"/>
    <w:rsid w:val="008420F4"/>
    <w:rsid w:val="00852BA6"/>
    <w:rsid w:val="008B14AA"/>
    <w:rsid w:val="008C72EF"/>
    <w:rsid w:val="008E11E0"/>
    <w:rsid w:val="00931467"/>
    <w:rsid w:val="00937FE1"/>
    <w:rsid w:val="00951319"/>
    <w:rsid w:val="0096245C"/>
    <w:rsid w:val="009A3234"/>
    <w:rsid w:val="00A2534A"/>
    <w:rsid w:val="00A340ED"/>
    <w:rsid w:val="00A543FD"/>
    <w:rsid w:val="00A65C8F"/>
    <w:rsid w:val="00A669A4"/>
    <w:rsid w:val="00A7452D"/>
    <w:rsid w:val="00B00743"/>
    <w:rsid w:val="00B501F2"/>
    <w:rsid w:val="00BA0332"/>
    <w:rsid w:val="00BA1394"/>
    <w:rsid w:val="00BA5E96"/>
    <w:rsid w:val="00BD097B"/>
    <w:rsid w:val="00BF5FA6"/>
    <w:rsid w:val="00C23FAE"/>
    <w:rsid w:val="00C35651"/>
    <w:rsid w:val="00C445ED"/>
    <w:rsid w:val="00C46AA4"/>
    <w:rsid w:val="00C531D5"/>
    <w:rsid w:val="00C75746"/>
    <w:rsid w:val="00CA7F0C"/>
    <w:rsid w:val="00CB7383"/>
    <w:rsid w:val="00CF497B"/>
    <w:rsid w:val="00D1213E"/>
    <w:rsid w:val="00D279AC"/>
    <w:rsid w:val="00D509CE"/>
    <w:rsid w:val="00D75F92"/>
    <w:rsid w:val="00D90576"/>
    <w:rsid w:val="00DA218C"/>
    <w:rsid w:val="00DC7DA1"/>
    <w:rsid w:val="00DE0934"/>
    <w:rsid w:val="00E152E6"/>
    <w:rsid w:val="00E4549C"/>
    <w:rsid w:val="00E61504"/>
    <w:rsid w:val="00E63FF7"/>
    <w:rsid w:val="00E67B57"/>
    <w:rsid w:val="00E8014C"/>
    <w:rsid w:val="00E85C55"/>
    <w:rsid w:val="00EA1133"/>
    <w:rsid w:val="00EB3FE0"/>
    <w:rsid w:val="00F13D73"/>
    <w:rsid w:val="00FD1E19"/>
    <w:rsid w:val="00FD2224"/>
    <w:rsid w:val="00FE573C"/>
    <w:rsid w:val="00FF30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c00"/>
      <o:colormenu v:ext="edit" fillcolor="#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0743"/>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Hyperlink">
    <w:name w:val="Hyperlink"/>
    <w:basedOn w:val="Absatz-Standardschriftart"/>
    <w:rsid w:val="00B00743"/>
    <w:rPr>
      <w:color w:val="0000FF"/>
      <w:u w:val="single"/>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customStyle="1" w:styleId="dtiteltext">
    <w:name w:val="d.titel.text"/>
    <w:basedOn w:val="dtext"/>
    <w:next w:val="dtext"/>
    <w:rsid w:val="00761E93"/>
    <w:pPr>
      <w:tabs>
        <w:tab w:val="left" w:pos="0"/>
      </w:tabs>
      <w:spacing w:after="239"/>
      <w:ind w:left="-1701"/>
    </w:pPr>
    <w:rPr>
      <w:b/>
      <w:szCs w:val="16"/>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fusszeile">
    <w:name w:val="d.fusszeile"/>
    <w:rsid w:val="0029137E"/>
    <w:pPr>
      <w:spacing w:line="118" w:lineRule="exact"/>
    </w:pPr>
    <w:rPr>
      <w:rFonts w:ascii="Arial" w:hAnsi="Arial"/>
      <w:noProof/>
      <w:sz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0743"/>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semiHidden/>
    <w:rsid w:val="00D279AC"/>
    <w:pPr>
      <w:tabs>
        <w:tab w:val="center" w:pos="4536"/>
        <w:tab w:val="right" w:pos="9072"/>
      </w:tabs>
    </w:pPr>
  </w:style>
  <w:style w:type="paragraph" w:styleId="Fuzeile">
    <w:name w:val="footer"/>
    <w:basedOn w:val="Standard"/>
    <w:semiHidden/>
    <w:rsid w:val="00D279AC"/>
    <w:pPr>
      <w:tabs>
        <w:tab w:val="center" w:pos="4536"/>
        <w:tab w:val="right" w:pos="9072"/>
      </w:tabs>
    </w:pPr>
  </w:style>
  <w:style w:type="table" w:styleId="Tabellenraster">
    <w:name w:val="Table Grid"/>
    <w:basedOn w:val="NormaleTabelle"/>
    <w:semiHidden/>
    <w:rsid w:val="00DE0934"/>
    <w:tblPr/>
    <w:tcPr>
      <w:tcMar>
        <w:left w:w="0" w:type="dxa"/>
        <w:right w:w="0" w:type="dxa"/>
      </w:tcMar>
    </w:tcPr>
  </w:style>
  <w:style w:type="paragraph" w:customStyle="1" w:styleId="dtext">
    <w:name w:val="d.text"/>
    <w:rsid w:val="004C47F7"/>
    <w:pPr>
      <w:widowControl w:val="0"/>
      <w:spacing w:after="120" w:line="239" w:lineRule="exact"/>
    </w:pPr>
    <w:rPr>
      <w:rFonts w:ascii="Arial" w:hAnsi="Arial"/>
      <w:sz w:val="18"/>
      <w:szCs w:val="24"/>
    </w:rPr>
  </w:style>
  <w:style w:type="paragraph" w:customStyle="1" w:styleId="djoker">
    <w:name w:val="d.joker"/>
    <w:basedOn w:val="dtext"/>
    <w:rsid w:val="00C445ED"/>
    <w:pPr>
      <w:pBdr>
        <w:top w:val="single" w:sz="12" w:space="6" w:color="CC0000"/>
        <w:left w:val="single" w:sz="12" w:space="6" w:color="CC0000"/>
        <w:bottom w:val="single" w:sz="12" w:space="6" w:color="CC0000"/>
        <w:right w:val="single" w:sz="12" w:space="6" w:color="CC0000"/>
      </w:pBdr>
    </w:pPr>
    <w:rPr>
      <w:color w:val="CC0000"/>
    </w:rPr>
  </w:style>
  <w:style w:type="paragraph" w:customStyle="1" w:styleId="dbildbeschreibung">
    <w:name w:val="d.bildbeschreibung"/>
    <w:basedOn w:val="dtext"/>
    <w:rsid w:val="008E11E0"/>
    <w:pPr>
      <w:shd w:val="clear" w:color="auto" w:fill="CCCCCC"/>
      <w:spacing w:after="0"/>
    </w:pPr>
    <w:rPr>
      <w:i/>
      <w:sz w:val="16"/>
    </w:rPr>
  </w:style>
  <w:style w:type="character" w:styleId="Hyperlink">
    <w:name w:val="Hyperlink"/>
    <w:basedOn w:val="Absatz-Standardschriftart"/>
    <w:rsid w:val="00B00743"/>
    <w:rPr>
      <w:color w:val="0000FF"/>
      <w:u w:val="single"/>
    </w:rPr>
  </w:style>
  <w:style w:type="character" w:styleId="Seitenzahl">
    <w:name w:val="page number"/>
    <w:basedOn w:val="Absatz-Standardschriftart"/>
    <w:semiHidden/>
    <w:rsid w:val="005B5DAA"/>
  </w:style>
  <w:style w:type="character" w:customStyle="1" w:styleId="dpfeil">
    <w:name w:val="d.pfeil"/>
    <w:basedOn w:val="Absatz-Standardschriftart"/>
    <w:semiHidden/>
    <w:rsid w:val="00C75746"/>
    <w:rPr>
      <w:rFonts w:ascii="Arial" w:hAnsi="Arial"/>
      <w:b/>
      <w:color w:val="CC0000"/>
      <w:sz w:val="24"/>
    </w:rPr>
  </w:style>
  <w:style w:type="paragraph" w:customStyle="1" w:styleId="dkopf">
    <w:name w:val="d.kopf"/>
    <w:semiHidden/>
    <w:rsid w:val="004C47F7"/>
    <w:pPr>
      <w:widowControl w:val="0"/>
      <w:tabs>
        <w:tab w:val="left" w:pos="0"/>
        <w:tab w:val="left" w:pos="2722"/>
      </w:tabs>
      <w:spacing w:after="120"/>
      <w:ind w:left="2155"/>
    </w:pPr>
    <w:rPr>
      <w:rFonts w:ascii="Arial" w:hAnsi="Arial"/>
      <w:b/>
      <w:color w:val="FFFFFF"/>
      <w:sz w:val="16"/>
      <w:szCs w:val="18"/>
    </w:rPr>
  </w:style>
  <w:style w:type="paragraph" w:customStyle="1" w:styleId="dmarginalieziel">
    <w:name w:val="d.marginalie.ziel"/>
    <w:basedOn w:val="dtext"/>
    <w:rsid w:val="00A65C8F"/>
    <w:pPr>
      <w:framePr w:w="1701" w:wrap="around" w:vAnchor="text" w:hAnchor="page" w:x="1135" w:y="1" w:anchorLock="1"/>
      <w:spacing w:line="182" w:lineRule="exact"/>
      <w:jc w:val="right"/>
    </w:pPr>
    <w:rPr>
      <w:b/>
      <w:color w:val="800000"/>
      <w:sz w:val="15"/>
      <w:szCs w:val="15"/>
    </w:rPr>
  </w:style>
  <w:style w:type="paragraph" w:customStyle="1" w:styleId="dpagina">
    <w:name w:val="d.pagina"/>
    <w:basedOn w:val="dtext"/>
    <w:rsid w:val="008420F4"/>
    <w:pPr>
      <w:spacing w:after="0" w:line="240" w:lineRule="auto"/>
      <w:jc w:val="right"/>
    </w:pPr>
    <w:rPr>
      <w:b/>
      <w:sz w:val="22"/>
    </w:rPr>
  </w:style>
  <w:style w:type="paragraph" w:customStyle="1" w:styleId="dtitelkapitel">
    <w:name w:val="d.titel.kapitel"/>
    <w:basedOn w:val="dtext"/>
    <w:next w:val="dtext"/>
    <w:rsid w:val="00840B8A"/>
    <w:pPr>
      <w:tabs>
        <w:tab w:val="left" w:pos="0"/>
      </w:tabs>
      <w:spacing w:after="0" w:line="240" w:lineRule="auto"/>
      <w:ind w:left="-1134"/>
    </w:pPr>
    <w:rPr>
      <w:b/>
      <w:color w:val="CC0000"/>
      <w:sz w:val="37"/>
      <w:szCs w:val="28"/>
    </w:rPr>
  </w:style>
  <w:style w:type="paragraph" w:customStyle="1" w:styleId="dmethode">
    <w:name w:val="d.methode"/>
    <w:basedOn w:val="dtext"/>
    <w:next w:val="dtiteltext"/>
    <w:semiHidden/>
    <w:rsid w:val="00E85C55"/>
    <w:pPr>
      <w:spacing w:after="0" w:line="240" w:lineRule="auto"/>
      <w:jc w:val="center"/>
    </w:pPr>
    <w:rPr>
      <w:b/>
      <w:color w:val="FFFFFF"/>
      <w:sz w:val="21"/>
      <w:szCs w:val="18"/>
    </w:rPr>
  </w:style>
  <w:style w:type="paragraph" w:customStyle="1" w:styleId="dtiteltext">
    <w:name w:val="d.titel.text"/>
    <w:basedOn w:val="dtext"/>
    <w:next w:val="dtext"/>
    <w:rsid w:val="00761E93"/>
    <w:pPr>
      <w:tabs>
        <w:tab w:val="left" w:pos="0"/>
      </w:tabs>
      <w:spacing w:after="239"/>
      <w:ind w:left="-1701"/>
    </w:pPr>
    <w:rPr>
      <w:b/>
      <w:szCs w:val="16"/>
    </w:rPr>
  </w:style>
  <w:style w:type="paragraph" w:styleId="Sprechblasentext">
    <w:name w:val="Balloon Text"/>
    <w:basedOn w:val="Standard"/>
    <w:semiHidden/>
    <w:rsid w:val="008420F4"/>
    <w:rPr>
      <w:rFonts w:ascii="Tahoma" w:hAnsi="Tahoma" w:cs="Tahoma"/>
      <w:sz w:val="16"/>
      <w:szCs w:val="16"/>
    </w:rPr>
  </w:style>
  <w:style w:type="paragraph" w:customStyle="1" w:styleId="dlernziel">
    <w:name w:val="d.lernziel"/>
    <w:basedOn w:val="dtext"/>
    <w:rsid w:val="000D7B21"/>
    <w:pPr>
      <w:shd w:val="clear" w:color="auto" w:fill="CCCCCC"/>
      <w:spacing w:after="0"/>
      <w:ind w:right="284"/>
    </w:pPr>
    <w:rPr>
      <w:b/>
      <w:color w:val="CC0000"/>
      <w:szCs w:val="18"/>
    </w:rPr>
  </w:style>
  <w:style w:type="paragraph" w:customStyle="1" w:styleId="dfusszeile">
    <w:name w:val="d.fusszeile"/>
    <w:rsid w:val="0029137E"/>
    <w:pPr>
      <w:spacing w:line="118" w:lineRule="exact"/>
    </w:pPr>
    <w:rPr>
      <w:rFonts w:ascii="Arial" w:hAnsi="Arial"/>
      <w:noProof/>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theatre-du-soleil.f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c\Eigene%20Dateien\Carola\Klett\Darstellendes%20Spiel\Homepage\MS\darstellendes_spiel_Stichwortverz.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darstellendes_spiel_Stichwortverz.dot</Template>
  <TotalTime>0</TotalTime>
  <Pages>3</Pages>
  <Words>1072</Words>
  <Characters>7601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0</vt:lpstr>
    </vt:vector>
  </TitlesOfParts>
  <Company>Klett Systeme &amp; Service GmbH</Company>
  <LinksUpToDate>false</LinksUpToDate>
  <CharactersWithSpaces>8656</CharactersWithSpaces>
  <SharedDoc>false</SharedDoc>
  <HLinks>
    <vt:vector size="6" baseType="variant">
      <vt:variant>
        <vt:i4>5046361</vt:i4>
      </vt:variant>
      <vt:variant>
        <vt:i4>0</vt:i4>
      </vt:variant>
      <vt:variant>
        <vt:i4>0</vt:i4>
      </vt:variant>
      <vt:variant>
        <vt:i4>5</vt:i4>
      </vt:variant>
      <vt:variant>
        <vt:lpwstr>http://www.theatre-du-soleil.fr/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pc</dc:creator>
  <cp:lastModifiedBy>Riehl, Carina</cp:lastModifiedBy>
  <cp:revision>4</cp:revision>
  <cp:lastPrinted>2018-02-28T12:30:00Z</cp:lastPrinted>
  <dcterms:created xsi:type="dcterms:W3CDTF">2018-02-28T12:27:00Z</dcterms:created>
  <dcterms:modified xsi:type="dcterms:W3CDTF">2018-02-28T12:34:00Z</dcterms:modified>
</cp:coreProperties>
</file>