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3A1" w:rsidRDefault="00C273A1" w:rsidP="00C273A1">
      <w:pPr>
        <w:pStyle w:val="dtiteltext"/>
      </w:pPr>
      <w:r>
        <w:tab/>
        <w:t>Sprechtheater</w:t>
      </w:r>
    </w:p>
    <w:p w:rsidR="00C273A1" w:rsidRDefault="00C273A1" w:rsidP="00C273A1">
      <w:pPr>
        <w:pStyle w:val="dtext"/>
        <w:sectPr w:rsidR="00C273A1" w:rsidSect="00931D6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361" w:bottom="1871" w:left="3289" w:header="1021" w:footer="454" w:gutter="0"/>
          <w:cols w:space="227"/>
          <w:titlePg/>
          <w:docGrid w:linePitch="360"/>
        </w:sectPr>
      </w:pPr>
    </w:p>
    <w:p w:rsidR="00C273A1" w:rsidRDefault="00C273A1" w:rsidP="00C273A1">
      <w:pPr>
        <w:pStyle w:val="dtext"/>
      </w:pPr>
      <w:r>
        <w:lastRenderedPageBreak/>
        <w:t>Der Begriff Sprechtheater ist ein Sa</w:t>
      </w:r>
      <w:r>
        <w:t>m</w:t>
      </w:r>
      <w:r>
        <w:t xml:space="preserve">melbegriff für Theaterformen, in denen zum einen die gesprochene Sprache das zentrale Ausdruckmittel darstellt, zum anderen die Textvorlage für das Stück eine sehr große Bedeutung spielt. </w:t>
      </w:r>
      <w:r w:rsidRPr="009D2371">
        <w:t xml:space="preserve">„Der Begriff des Sprechtheaters ist </w:t>
      </w:r>
      <w:r w:rsidR="0020069B">
        <w:rPr>
          <w:rFonts w:cs="Arial"/>
        </w:rPr>
        <w:t>[</w:t>
      </w:r>
      <w:r w:rsidR="0020069B">
        <w:t>…</w:t>
      </w:r>
      <w:r w:rsidR="0020069B">
        <w:rPr>
          <w:rFonts w:cs="Arial"/>
        </w:rPr>
        <w:t xml:space="preserve">] </w:t>
      </w:r>
      <w:r w:rsidRPr="009D2371">
        <w:t>u</w:t>
      </w:r>
      <w:r w:rsidRPr="009D2371">
        <w:t>n</w:t>
      </w:r>
      <w:r w:rsidRPr="009D2371">
        <w:t>brauchbar geworden, weil er einerseits zu viele Formen umfasst, in denen mit Sprache gearbeitet wird, und weil es andererseits die traditionelle Form des Sprechtheaters als Deklamationsvera</w:t>
      </w:r>
      <w:r w:rsidRPr="009D2371">
        <w:t>n</w:t>
      </w:r>
      <w:r w:rsidRPr="009D2371">
        <w:t xml:space="preserve">staltung kaum noch gibt oder nur noch auf sehr verstaubten Stadttheater- und Laienspielbühnen </w:t>
      </w:r>
      <w:r w:rsidR="0020069B">
        <w:rPr>
          <w:rFonts w:cs="Arial"/>
        </w:rPr>
        <w:t>[</w:t>
      </w:r>
      <w:r w:rsidR="0020069B">
        <w:t>…</w:t>
      </w:r>
      <w:r w:rsidR="0020069B">
        <w:rPr>
          <w:rFonts w:cs="Arial"/>
        </w:rPr>
        <w:t xml:space="preserve">] </w:t>
      </w:r>
      <w:r w:rsidRPr="009D2371">
        <w:t xml:space="preserve"> gepflegt wird.“ (vgl. </w:t>
      </w:r>
      <w:r w:rsidR="00DC0B07">
        <w:t>Joachim Reiss, Bernd S</w:t>
      </w:r>
      <w:r w:rsidR="00DC0B07">
        <w:t>u</w:t>
      </w:r>
      <w:r w:rsidR="00DC0B07">
        <w:t>senburger, Günter Wagner:</w:t>
      </w:r>
      <w:r w:rsidR="00DC0B07" w:rsidRPr="009D2371">
        <w:t xml:space="preserve"> </w:t>
      </w:r>
      <w:r w:rsidRPr="009D2371">
        <w:t>Handrei</w:t>
      </w:r>
      <w:r w:rsidR="00DC0B07">
        <w:t>chungen zum Darstellenden Spiel. HIBS, Wie</w:t>
      </w:r>
      <w:r w:rsidR="00DC0B07">
        <w:t>s</w:t>
      </w:r>
      <w:r w:rsidR="00DC0B07">
        <w:t xml:space="preserve">baden </w:t>
      </w:r>
      <w:r w:rsidR="00DC0B07">
        <w:lastRenderedPageBreak/>
        <w:t xml:space="preserve">1994, </w:t>
      </w:r>
      <w:r w:rsidR="00DC0B07" w:rsidRPr="009D2371">
        <w:t>S.</w:t>
      </w:r>
      <w:r w:rsidR="00DC0B07">
        <w:t xml:space="preserve"> </w:t>
      </w:r>
      <w:r w:rsidR="00DC0B07" w:rsidRPr="009D2371">
        <w:t>22</w:t>
      </w:r>
      <w:r w:rsidRPr="009D2371">
        <w:t>)</w:t>
      </w:r>
      <w:r>
        <w:rPr>
          <w:color w:val="FF9900"/>
        </w:rPr>
        <w:t xml:space="preserve"> </w:t>
      </w:r>
      <w:r>
        <w:t>In den letzten Jahrzehnten hat sich der Umgang mit Sprache auf der Bühne stark gewandelt: Wo vormals hauptsächlich der sprachlichen Bearbe</w:t>
      </w:r>
      <w:r>
        <w:t>i</w:t>
      </w:r>
      <w:r>
        <w:t>tung der Textvorlage eines Stückes durch die Schauspieler Aufmerksamkeit geschenkt wurde, werden heute Körpe</w:t>
      </w:r>
      <w:r>
        <w:t>r</w:t>
      </w:r>
      <w:r>
        <w:t>einsatz und körperliche Darstellung, ironischer, kritischer und absurder U</w:t>
      </w:r>
      <w:r>
        <w:t>m</w:t>
      </w:r>
      <w:r>
        <w:t>gang mit dem Text, der Einsatz von Medien, die Wi</w:t>
      </w:r>
      <w:r>
        <w:t>r</w:t>
      </w:r>
      <w:r>
        <w:t>kung von Kostümen, Requisiten und Bühnenbild, ... eing</w:t>
      </w:r>
      <w:r>
        <w:t>e</w:t>
      </w:r>
      <w:r>
        <w:t>setzt, um das Bü</w:t>
      </w:r>
      <w:r>
        <w:t>h</w:t>
      </w:r>
      <w:r>
        <w:t>nengeschehen zu gestalten. Dennoch: die Sprache steht auch an professione</w:t>
      </w:r>
      <w:r>
        <w:t>l</w:t>
      </w:r>
      <w:r>
        <w:t>len Theatern als Ausdrucksmittel immer noch im Zentrum der meisten Inszeni</w:t>
      </w:r>
      <w:r>
        <w:t>e</w:t>
      </w:r>
      <w:r>
        <w:t>rungen.</w:t>
      </w:r>
    </w:p>
    <w:p w:rsidR="00C273A1" w:rsidRDefault="00C273A1" w:rsidP="00C273A1">
      <w:pPr>
        <w:pStyle w:val="dtext"/>
        <w:sectPr w:rsidR="00C273A1" w:rsidSect="00C273A1">
          <w:type w:val="continuous"/>
          <w:pgSz w:w="11906" w:h="16838" w:code="9"/>
          <w:pgMar w:top="2268" w:right="1361" w:bottom="1871" w:left="3289" w:header="1021" w:footer="794" w:gutter="0"/>
          <w:cols w:num="2" w:space="709"/>
          <w:titlePg/>
          <w:docGrid w:linePitch="360"/>
        </w:sectPr>
      </w:pPr>
    </w:p>
    <w:p w:rsidR="0081428C" w:rsidRPr="0015434A" w:rsidRDefault="0081428C" w:rsidP="0081428C">
      <w:pPr>
        <w:pStyle w:val="dtext"/>
        <w:spacing w:after="0"/>
        <w:rPr>
          <w:b/>
          <w:color w:val="D6083B"/>
        </w:rPr>
      </w:pPr>
      <w:r w:rsidRPr="0015434A">
        <w:rPr>
          <w:b/>
          <w:color w:val="D6083B"/>
        </w:rPr>
        <w:lastRenderedPageBreak/>
        <w:t>________________________________________________________________________</w:t>
      </w:r>
    </w:p>
    <w:p w:rsidR="0081428C" w:rsidRPr="002A194C" w:rsidRDefault="0081428C" w:rsidP="0081428C">
      <w:pPr>
        <w:pStyle w:val="dtext"/>
        <w:spacing w:after="0"/>
        <w:rPr>
          <w:b/>
          <w:color w:val="FF0000"/>
        </w:rPr>
      </w:pPr>
    </w:p>
    <w:p w:rsidR="00C273A1" w:rsidRDefault="005330F8" w:rsidP="0081428C">
      <w:pPr>
        <w:pStyle w:val="dtiteltext"/>
      </w:pPr>
      <w:r>
        <w:tab/>
      </w:r>
      <w:r w:rsidR="00C273A1">
        <w:t>Praxisbeispiel: René Pollesch</w:t>
      </w:r>
    </w:p>
    <w:p w:rsidR="00C273A1" w:rsidRDefault="00C273A1" w:rsidP="00C273A1">
      <w:pPr>
        <w:pStyle w:val="dtext"/>
        <w:sectPr w:rsidR="00C273A1" w:rsidSect="004F2309">
          <w:type w:val="continuous"/>
          <w:pgSz w:w="11906" w:h="16838" w:code="9"/>
          <w:pgMar w:top="2268" w:right="1361" w:bottom="1871" w:left="3289" w:header="1021" w:footer="794" w:gutter="0"/>
          <w:cols w:space="227"/>
          <w:titlePg/>
          <w:docGrid w:linePitch="360"/>
        </w:sectPr>
      </w:pPr>
    </w:p>
    <w:p w:rsidR="00C273A1" w:rsidRDefault="00C273A1" w:rsidP="00C273A1">
      <w:pPr>
        <w:pStyle w:val="dtext"/>
      </w:pPr>
      <w:r>
        <w:lastRenderedPageBreak/>
        <w:t>Einer der wichtigsten deutschen The</w:t>
      </w:r>
      <w:r>
        <w:t>a</w:t>
      </w:r>
      <w:r>
        <w:t>terschaffenden, in dessen Inszenieru</w:t>
      </w:r>
      <w:r>
        <w:t>n</w:t>
      </w:r>
      <w:r>
        <w:t>gen Sprache das zentrale Ausdrucksmi</w:t>
      </w:r>
      <w:r>
        <w:t>t</w:t>
      </w:r>
      <w:r>
        <w:t>tel darstellt, ist der Autor und Regisseur Ren</w:t>
      </w:r>
      <w:r>
        <w:rPr>
          <w:bCs/>
        </w:rPr>
        <w:t>é</w:t>
      </w:r>
      <w:r>
        <w:t xml:space="preserve"> Pollesch (1962). Nach einem St</w:t>
      </w:r>
      <w:r>
        <w:t>u</w:t>
      </w:r>
      <w:r>
        <w:t>dium der Angewandten Theaterwisse</w:t>
      </w:r>
      <w:r>
        <w:t>n</w:t>
      </w:r>
      <w:r>
        <w:t xml:space="preserve">schaften in Gießen, begann er mit ersten größeren Inszenierungen am TAT in Frankfurt. Seit der Spielzeit 2001/2002 leitet er den „Prater“, eine Spielstätte der Volksbühne in Berlin. Polleschs Umgang mit Sprache ist ungewöhnlich: </w:t>
      </w:r>
    </w:p>
    <w:p w:rsidR="00C273A1" w:rsidRDefault="00C273A1" w:rsidP="00C273A1">
      <w:pPr>
        <w:pStyle w:val="dtext"/>
        <w:spacing w:after="0"/>
      </w:pPr>
      <w:r w:rsidRPr="0015434A">
        <w:rPr>
          <w:rStyle w:val="dpfeil"/>
          <w:color w:val="D6083B"/>
        </w:rPr>
        <w:t>&gt;</w:t>
      </w:r>
      <w:r>
        <w:t xml:space="preserve"> Lange, hochkomplexe Texte, die zum einen sehr intellektuell und theoretisch, zum anderen sehr umgangssprachlich und vulgär sind beschäftigen sich mit Diskursen über Arbeits- und Lebenswe</w:t>
      </w:r>
      <w:r>
        <w:t>l</w:t>
      </w:r>
      <w:r>
        <w:t xml:space="preserve">ten oder Themen wie Globalisierung und Technisierung. </w:t>
      </w:r>
    </w:p>
    <w:p w:rsidR="00C273A1" w:rsidRDefault="00C273A1" w:rsidP="00C273A1">
      <w:pPr>
        <w:pStyle w:val="dtext"/>
        <w:spacing w:after="0"/>
      </w:pPr>
      <w:r w:rsidRPr="0015434A">
        <w:rPr>
          <w:rStyle w:val="dpfeil"/>
          <w:color w:val="D6083B"/>
        </w:rPr>
        <w:t>&gt;</w:t>
      </w:r>
      <w:r>
        <w:t xml:space="preserve"> Die Texte weisen keine klare dialog</w:t>
      </w:r>
      <w:r>
        <w:t>i</w:t>
      </w:r>
      <w:r>
        <w:t>sche Struktur auf und verzichten auf jegliche Rollenzuordnungen. Sie erzä</w:t>
      </w:r>
      <w:r>
        <w:t>h</w:t>
      </w:r>
      <w:r>
        <w:t>len keine Geschichte und geben nichts über die Figuren preis und entziehen sich dem herkömmlichen Verständnis eines Theaterstücks.</w:t>
      </w:r>
    </w:p>
    <w:p w:rsidR="00C273A1" w:rsidRDefault="00C273A1" w:rsidP="00C273A1">
      <w:pPr>
        <w:pStyle w:val="dtext"/>
        <w:spacing w:after="0"/>
      </w:pPr>
      <w:r w:rsidRPr="0015434A">
        <w:rPr>
          <w:rStyle w:val="dpfeil"/>
          <w:color w:val="D6083B"/>
        </w:rPr>
        <w:t>&gt;</w:t>
      </w:r>
      <w:r>
        <w:t xml:space="preserve"> Auch auf der Bühne lassen die Da</w:t>
      </w:r>
      <w:r>
        <w:t>r</w:t>
      </w:r>
      <w:r>
        <w:t xml:space="preserve">steller keine richtigen Figuren entstehen, </w:t>
      </w:r>
      <w:r>
        <w:lastRenderedPageBreak/>
        <w:t xml:space="preserve">sie sind eher Sprachrohre des Textes: Schnell und ohne Punkt und Komma, in einem pausenlosen Redefluss bringen sie den Text hervor. </w:t>
      </w:r>
    </w:p>
    <w:p w:rsidR="00C273A1" w:rsidRDefault="00C273A1" w:rsidP="00C273A1">
      <w:pPr>
        <w:pStyle w:val="dtext"/>
        <w:spacing w:after="0"/>
      </w:pPr>
      <w:r w:rsidRPr="0015434A">
        <w:rPr>
          <w:rStyle w:val="dpfeil"/>
          <w:color w:val="D6083B"/>
        </w:rPr>
        <w:t>&gt;</w:t>
      </w:r>
      <w:r>
        <w:t xml:space="preserve"> Die Physikalität des Sprechens mit</w:t>
      </w:r>
      <w:r>
        <w:t>s</w:t>
      </w:r>
      <w:r>
        <w:t>amt Versprechern, Husten, dem Heise</w:t>
      </w:r>
      <w:r>
        <w:t>r</w:t>
      </w:r>
      <w:r>
        <w:t>werden oder dem Wegbleiben der Sti</w:t>
      </w:r>
      <w:r>
        <w:t>m</w:t>
      </w:r>
      <w:r>
        <w:t>me wird vorgeführt. Das Sprechen wird zur Kraftprobe, für die Stimmen der Sprecher und die Konzentration der Zuschauer zugleich</w:t>
      </w:r>
    </w:p>
    <w:p w:rsidR="00C273A1" w:rsidRDefault="00C273A1" w:rsidP="00C273A1">
      <w:pPr>
        <w:pStyle w:val="dtext"/>
        <w:spacing w:after="0"/>
      </w:pPr>
      <w:r w:rsidRPr="0015434A">
        <w:rPr>
          <w:rStyle w:val="dpfeil"/>
          <w:color w:val="D6083B"/>
        </w:rPr>
        <w:t>&gt;</w:t>
      </w:r>
      <w:r>
        <w:t xml:space="preserve"> Die Darsteller haben nur ein sehr einfaches System von Ausdrucksformen: Sprechen oder Schreien, flüssig schnell oder punktiert.</w:t>
      </w:r>
    </w:p>
    <w:p w:rsidR="00C273A1" w:rsidRDefault="00C273A1" w:rsidP="00C273A1">
      <w:pPr>
        <w:pStyle w:val="dtext"/>
        <w:spacing w:after="0"/>
      </w:pPr>
      <w:r w:rsidRPr="0015434A">
        <w:rPr>
          <w:rStyle w:val="dpfeil"/>
          <w:color w:val="D6083B"/>
        </w:rPr>
        <w:t>&gt;</w:t>
      </w:r>
      <w:r>
        <w:t xml:space="preserve"> Da die Textblöcke keine dialogische oder dramatische Logik aufweisen und deswegen schwer zu behalten sind, kommt es häufig vor, dass die Scha</w:t>
      </w:r>
      <w:r>
        <w:t>u</w:t>
      </w:r>
      <w:r>
        <w:t>spieler ihren Text nicht mehr wissen. In diesem Fall stoßen sie einen Schrei aus oder rufen laut „Scheiße“ und blicken die Souffleuse an, die am Bühnenrand sitzt. Daraufhin souffliert die Souffleuse und der Text wird von den Spielern – so, als wäre nichts gewesen – wieder aufg</w:t>
      </w:r>
      <w:r>
        <w:t>e</w:t>
      </w:r>
      <w:r>
        <w:t xml:space="preserve">nommen und weitergesprochen. </w:t>
      </w:r>
    </w:p>
    <w:p w:rsidR="00C273A1" w:rsidRDefault="00C273A1" w:rsidP="00C273A1">
      <w:pPr>
        <w:pStyle w:val="dtext"/>
        <w:rPr>
          <w:sz w:val="20"/>
        </w:rPr>
        <w:sectPr w:rsidR="00C273A1" w:rsidSect="00C273A1">
          <w:type w:val="continuous"/>
          <w:pgSz w:w="11906" w:h="16838" w:code="9"/>
          <w:pgMar w:top="2268" w:right="1361" w:bottom="1871" w:left="3289" w:header="1021" w:footer="794" w:gutter="0"/>
          <w:cols w:num="2" w:space="709"/>
          <w:titlePg/>
          <w:docGrid w:linePitch="360"/>
        </w:sectPr>
      </w:pPr>
    </w:p>
    <w:p w:rsidR="00C273A1" w:rsidRDefault="00C273A1" w:rsidP="00C273A1">
      <w:pPr>
        <w:pStyle w:val="dtext"/>
        <w:rPr>
          <w:sz w:val="20"/>
        </w:rPr>
      </w:pPr>
    </w:p>
    <w:p w:rsidR="00C273A1" w:rsidRDefault="00C273A1" w:rsidP="00C273A1">
      <w:pPr>
        <w:pStyle w:val="dtiteltext"/>
        <w:spacing w:after="120"/>
      </w:pPr>
      <w:r>
        <w:tab/>
        <w:t>Weiterführende Literatur</w:t>
      </w:r>
    </w:p>
    <w:p w:rsidR="00C273A1" w:rsidRDefault="00C273A1" w:rsidP="00C273A1">
      <w:pPr>
        <w:pStyle w:val="dtext"/>
        <w:rPr>
          <w:sz w:val="20"/>
        </w:rPr>
      </w:pPr>
      <w:r w:rsidRPr="0015434A">
        <w:rPr>
          <w:rStyle w:val="dpfeil"/>
          <w:color w:val="D6083B"/>
          <w:sz w:val="20"/>
        </w:rPr>
        <w:t>&gt;</w:t>
      </w:r>
      <w:r w:rsidRPr="0015434A">
        <w:rPr>
          <w:color w:val="D6083B"/>
          <w:sz w:val="20"/>
        </w:rPr>
        <w:t xml:space="preserve"> </w:t>
      </w:r>
      <w:r>
        <w:rPr>
          <w:sz w:val="20"/>
        </w:rPr>
        <w:t xml:space="preserve">Wirth, Andrzej: René Pollesch. Generationsagitpoptheater für Stadtindiander. In: Werk-Stück. Regisseure im Portrait. Arbeitsbuch 2003. Theater der Zeit, </w:t>
      </w:r>
      <w:r w:rsidR="00282151">
        <w:rPr>
          <w:sz w:val="20"/>
        </w:rPr>
        <w:br/>
      </w:r>
      <w:r>
        <w:rPr>
          <w:sz w:val="20"/>
        </w:rPr>
        <w:t>Berlin 2003.</w:t>
      </w:r>
    </w:p>
    <w:p w:rsidR="004F2309" w:rsidRDefault="004F2309" w:rsidP="00761E93">
      <w:pPr>
        <w:pStyle w:val="dtext"/>
      </w:pPr>
    </w:p>
    <w:sectPr w:rsidR="004F2309" w:rsidSect="00931D64">
      <w:type w:val="continuous"/>
      <w:pgSz w:w="11906" w:h="16838" w:code="9"/>
      <w:pgMar w:top="2268" w:right="1361" w:bottom="1871" w:left="3289" w:header="1021" w:footer="454" w:gutter="0"/>
      <w:cols w:space="22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82151">
      <w:r>
        <w:separator/>
      </w:r>
    </w:p>
  </w:endnote>
  <w:endnote w:type="continuationSeparator" w:id="0">
    <w:p w:rsidR="00000000" w:rsidRDefault="0028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2478" w:type="dxa"/>
      <w:tblLayout w:type="fixed"/>
      <w:tblLook w:val="01E0" w:firstRow="1" w:lastRow="1" w:firstColumn="1" w:lastColumn="1" w:noHBand="0" w:noVBand="0"/>
    </w:tblPr>
    <w:tblGrid>
      <w:gridCol w:w="10773"/>
    </w:tblGrid>
    <w:tr w:rsidR="00A340ED" w:rsidRPr="00481E9A">
      <w:trPr>
        <w:trHeight w:val="340"/>
      </w:trPr>
      <w:tc>
        <w:tcPr>
          <w:tcW w:w="10773" w:type="dxa"/>
          <w:vAlign w:val="center"/>
        </w:tcPr>
        <w:p w:rsidR="00A340ED" w:rsidRPr="00481E9A" w:rsidRDefault="00A340ED" w:rsidP="00481E9A">
          <w:r w:rsidRPr="00481E9A">
            <w:fldChar w:fldCharType="begin"/>
          </w:r>
          <w:r w:rsidRPr="00481E9A">
            <w:instrText xml:space="preserve"> PAGE </w:instrText>
          </w:r>
          <w:r w:rsidRPr="00481E9A">
            <w:fldChar w:fldCharType="separate"/>
          </w:r>
          <w:r>
            <w:rPr>
              <w:noProof/>
            </w:rPr>
            <w:t>2</w:t>
          </w:r>
          <w:r w:rsidRPr="00481E9A">
            <w:fldChar w:fldCharType="end"/>
          </w:r>
        </w:p>
      </w:tc>
    </w:tr>
    <w:tr w:rsidR="00A340ED" w:rsidRPr="00481E9A">
      <w:trPr>
        <w:trHeight w:val="340"/>
      </w:trPr>
      <w:tc>
        <w:tcPr>
          <w:tcW w:w="10773" w:type="dxa"/>
          <w:shd w:val="clear" w:color="auto" w:fill="D9D9D9"/>
          <w:vAlign w:val="center"/>
        </w:tcPr>
        <w:p w:rsidR="00A340ED" w:rsidRDefault="00A340ED" w:rsidP="00481E9A">
          <w:r w:rsidRPr="00481E9A">
            <w:t>Text Fußzeile</w:t>
          </w:r>
        </w:p>
      </w:tc>
    </w:tr>
  </w:tbl>
  <w:p w:rsidR="00A340ED" w:rsidRDefault="00A340ED" w:rsidP="00481E9A">
    <w:pPr>
      <w:pStyle w:val="d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931D64">
      <w:tblPrEx>
        <w:tblCellMar>
          <w:top w:w="0" w:type="dxa"/>
          <w:left w:w="0" w:type="dxa"/>
          <w:bottom w:w="0" w:type="dxa"/>
          <w:right w:w="0" w:type="dxa"/>
        </w:tblCellMar>
      </w:tblPrEx>
      <w:tc>
        <w:tcPr>
          <w:tcW w:w="1077" w:type="dxa"/>
          <w:vAlign w:val="bottom"/>
        </w:tcPr>
        <w:p w:rsidR="00931D64" w:rsidRDefault="00E1237F" w:rsidP="00B270E5">
          <w:pPr>
            <w:pStyle w:val="dfusszeile"/>
            <w:spacing w:line="240" w:lineRule="auto"/>
          </w:pPr>
          <w:r>
            <w:drawing>
              <wp:inline distT="0" distB="0" distL="0" distR="0" wp14:anchorId="59BF5D71" wp14:editId="1D709F87">
                <wp:extent cx="466725" cy="238125"/>
                <wp:effectExtent l="0" t="0" r="9525" b="9525"/>
                <wp:docPr id="1"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931D64" w:rsidRDefault="00931D64" w:rsidP="00282151">
          <w:pPr>
            <w:pStyle w:val="dfusszeile"/>
          </w:pPr>
          <w:r>
            <w:t xml:space="preserve">© Ernst Klett Verlag GmbH, Stuttgart </w:t>
          </w:r>
          <w:r w:rsidR="00282151">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931D64" w:rsidRDefault="00931D64" w:rsidP="00B270E5">
          <w:pPr>
            <w:pStyle w:val="dfusszeile"/>
          </w:pPr>
          <w:r>
            <w:t>zu Darstellendes Spiel</w:t>
          </w:r>
        </w:p>
        <w:p w:rsidR="00931D64" w:rsidRDefault="00282151" w:rsidP="00B270E5">
          <w:pPr>
            <w:pStyle w:val="dfusszeile"/>
            <w:spacing w:line="240" w:lineRule="auto"/>
          </w:pPr>
          <w:r>
            <w:t>ISBN: 978-3-12-350467-9</w:t>
          </w:r>
          <w:bookmarkStart w:id="0" w:name="_GoBack"/>
          <w:bookmarkEnd w:id="0"/>
        </w:p>
      </w:tc>
      <w:tc>
        <w:tcPr>
          <w:tcW w:w="404" w:type="dxa"/>
          <w:tcBorders>
            <w:top w:val="single" w:sz="4" w:space="0" w:color="auto"/>
          </w:tcBorders>
          <w:vAlign w:val="bottom"/>
        </w:tcPr>
        <w:p w:rsidR="00931D64" w:rsidRPr="00654D71" w:rsidRDefault="00931D64" w:rsidP="00B270E5">
          <w:pPr>
            <w:pStyle w:val="dpagina"/>
          </w:pPr>
          <w:r w:rsidRPr="00654D71">
            <w:fldChar w:fldCharType="begin"/>
          </w:r>
          <w:r w:rsidRPr="00654D71">
            <w:instrText xml:space="preserve"> PAGE  \* MERGEFORMAT </w:instrText>
          </w:r>
          <w:r w:rsidRPr="00654D71">
            <w:fldChar w:fldCharType="separate"/>
          </w:r>
          <w:r w:rsidR="00282151">
            <w:rPr>
              <w:noProof/>
            </w:rPr>
            <w:t>2</w:t>
          </w:r>
          <w:r w:rsidRPr="00654D71">
            <w:fldChar w:fldCharType="end"/>
          </w:r>
        </w:p>
      </w:tc>
    </w:tr>
  </w:tbl>
  <w:p w:rsidR="00931D64" w:rsidRDefault="00931D64" w:rsidP="00931D64">
    <w:pPr>
      <w:pStyle w:val="dfuss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931D64">
      <w:tblPrEx>
        <w:tblCellMar>
          <w:top w:w="0" w:type="dxa"/>
          <w:left w:w="0" w:type="dxa"/>
          <w:bottom w:w="0" w:type="dxa"/>
          <w:right w:w="0" w:type="dxa"/>
        </w:tblCellMar>
      </w:tblPrEx>
      <w:tc>
        <w:tcPr>
          <w:tcW w:w="1077" w:type="dxa"/>
          <w:vAlign w:val="bottom"/>
        </w:tcPr>
        <w:p w:rsidR="00931D64" w:rsidRDefault="00E1237F" w:rsidP="00B270E5">
          <w:pPr>
            <w:pStyle w:val="dfusszeile"/>
            <w:spacing w:line="240" w:lineRule="auto"/>
          </w:pPr>
          <w:r>
            <w:drawing>
              <wp:inline distT="0" distB="0" distL="0" distR="0" wp14:anchorId="79B04211" wp14:editId="79E37644">
                <wp:extent cx="466725" cy="238125"/>
                <wp:effectExtent l="0" t="0" r="9525" b="9525"/>
                <wp:docPr id="2" name="Bild 2"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931D64" w:rsidRDefault="00931D64" w:rsidP="00282151">
          <w:pPr>
            <w:pStyle w:val="dfusszeile"/>
          </w:pPr>
          <w:r>
            <w:t xml:space="preserve">© Ernst Klett Verlag GmbH, Stuttgart </w:t>
          </w:r>
          <w:r w:rsidR="00282151">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931D64" w:rsidRDefault="00931D64" w:rsidP="00B270E5">
          <w:pPr>
            <w:pStyle w:val="dfusszeile"/>
          </w:pPr>
          <w:r>
            <w:t>zu Darstellendes Spiel</w:t>
          </w:r>
        </w:p>
        <w:p w:rsidR="00931D64" w:rsidRDefault="00282151" w:rsidP="00B270E5">
          <w:pPr>
            <w:pStyle w:val="dfusszeile"/>
            <w:spacing w:line="240" w:lineRule="auto"/>
          </w:pPr>
          <w:r>
            <w:t>ISBN: 978-3-12-350467-9</w:t>
          </w:r>
        </w:p>
      </w:tc>
      <w:tc>
        <w:tcPr>
          <w:tcW w:w="404" w:type="dxa"/>
          <w:tcBorders>
            <w:top w:val="single" w:sz="4" w:space="0" w:color="auto"/>
          </w:tcBorders>
          <w:vAlign w:val="bottom"/>
        </w:tcPr>
        <w:p w:rsidR="00931D64" w:rsidRPr="00654D71" w:rsidRDefault="00931D64" w:rsidP="00B270E5">
          <w:pPr>
            <w:pStyle w:val="dpagina"/>
          </w:pPr>
          <w:r w:rsidRPr="00654D71">
            <w:fldChar w:fldCharType="begin"/>
          </w:r>
          <w:r w:rsidRPr="00654D71">
            <w:instrText xml:space="preserve"> PAGE  \* MERGEFORMAT </w:instrText>
          </w:r>
          <w:r w:rsidRPr="00654D71">
            <w:fldChar w:fldCharType="separate"/>
          </w:r>
          <w:r w:rsidR="00282151">
            <w:rPr>
              <w:noProof/>
            </w:rPr>
            <w:t>1</w:t>
          </w:r>
          <w:r w:rsidRPr="00654D71">
            <w:fldChar w:fldCharType="end"/>
          </w:r>
        </w:p>
      </w:tc>
    </w:tr>
  </w:tbl>
  <w:p w:rsidR="00931D64" w:rsidRDefault="00931D64" w:rsidP="00931D64">
    <w:pPr>
      <w:pStyle w:val="d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82151">
      <w:r>
        <w:separator/>
      </w:r>
    </w:p>
  </w:footnote>
  <w:footnote w:type="continuationSeparator" w:id="0">
    <w:p w:rsidR="00000000" w:rsidRDefault="00282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773" w:type="dxa"/>
      <w:tblInd w:w="-2478" w:type="dxa"/>
      <w:shd w:val="clear" w:color="auto" w:fill="CC0000"/>
      <w:tblLayout w:type="fixed"/>
      <w:tblLook w:val="01E0" w:firstRow="1" w:lastRow="1" w:firstColumn="1" w:lastColumn="1" w:noHBand="0" w:noVBand="0"/>
    </w:tblPr>
    <w:tblGrid>
      <w:gridCol w:w="10773"/>
    </w:tblGrid>
    <w:tr w:rsidR="00A340ED">
      <w:trPr>
        <w:trHeight w:val="510"/>
      </w:trPr>
      <w:tc>
        <w:tcPr>
          <w:tcW w:w="10773" w:type="dxa"/>
          <w:shd w:val="clear" w:color="auto" w:fill="CC0000"/>
          <w:vAlign w:val="center"/>
        </w:tcPr>
        <w:p w:rsidR="00A340ED" w:rsidRPr="00BA5E96" w:rsidRDefault="00A340ED" w:rsidP="00BA5E96">
          <w:pPr>
            <w:pStyle w:val="dtext"/>
          </w:pPr>
        </w:p>
      </w:tc>
    </w:tr>
  </w:tbl>
  <w:p w:rsidR="00A340ED" w:rsidRDefault="00A340ED" w:rsidP="00BA5E96">
    <w:pPr>
      <w:pStyle w:val="d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3119" w:type="dxa"/>
      <w:shd w:val="clear" w:color="auto" w:fill="CC0000"/>
      <w:tblLayout w:type="fixed"/>
      <w:tblLook w:val="01E0" w:firstRow="1" w:lastRow="1" w:firstColumn="1" w:lastColumn="1" w:noHBand="0" w:noVBand="0"/>
    </w:tblPr>
    <w:tblGrid>
      <w:gridCol w:w="11567"/>
    </w:tblGrid>
    <w:tr w:rsidR="00A340ED">
      <w:trPr>
        <w:trHeight w:hRule="exact" w:val="851"/>
      </w:trPr>
      <w:tc>
        <w:tcPr>
          <w:tcW w:w="11567" w:type="dxa"/>
          <w:shd w:val="clear" w:color="auto" w:fill="CC0000"/>
          <w:vAlign w:val="bottom"/>
        </w:tcPr>
        <w:p w:rsidR="00A340ED" w:rsidRPr="00BA5E96" w:rsidRDefault="00A340ED" w:rsidP="00BF5FA6">
          <w:pPr>
            <w:pStyle w:val="dkopf"/>
            <w:tabs>
              <w:tab w:val="clear" w:pos="0"/>
              <w:tab w:val="clear" w:pos="2722"/>
              <w:tab w:val="left" w:pos="2552"/>
            </w:tabs>
          </w:pPr>
          <w:r>
            <w:tab/>
          </w:r>
          <w:r w:rsidR="00282151">
            <w:t xml:space="preserve">             Grundkurs 2: </w:t>
          </w:r>
          <w:r w:rsidR="00C273A1">
            <w:t>Sprache</w:t>
          </w:r>
        </w:p>
      </w:tc>
    </w:tr>
  </w:tbl>
  <w:p w:rsidR="00A340ED" w:rsidRPr="004C47F7" w:rsidRDefault="00A340ED" w:rsidP="004C47F7">
    <w:pPr>
      <w:pStyle w:val="d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1" w:rsidRDefault="00282151" w:rsidP="000D7B21">
    <w:pPr>
      <w:pStyle w:val="dtitelkapitel"/>
      <w:rPr>
        <w:sz w:val="36"/>
        <w:szCs w:val="36"/>
      </w:rPr>
    </w:pPr>
    <w:r>
      <w:rPr>
        <w:b w:val="0"/>
        <w:color w:val="auto"/>
        <w:sz w:val="18"/>
        <w:szCs w:val="24"/>
      </w:rPr>
      <w:tab/>
    </w:r>
    <w:r>
      <w:rPr>
        <w:sz w:val="36"/>
        <w:szCs w:val="36"/>
      </w:rPr>
      <w:t>Grundkurs 2:</w:t>
    </w:r>
  </w:p>
  <w:p w:rsidR="00A340ED" w:rsidRPr="009D2371" w:rsidRDefault="00282151" w:rsidP="000D7B21">
    <w:pPr>
      <w:pStyle w:val="dtitelkapitel"/>
      <w:rPr>
        <w:sz w:val="36"/>
        <w:szCs w:val="36"/>
      </w:rPr>
    </w:pPr>
    <w:r>
      <w:rPr>
        <w:sz w:val="36"/>
        <w:szCs w:val="36"/>
      </w:rPr>
      <w:tab/>
    </w:r>
    <w:r w:rsidR="00C273A1" w:rsidRPr="009D2371">
      <w:rPr>
        <w:sz w:val="36"/>
        <w:szCs w:val="36"/>
      </w:rPr>
      <w:t>Sprache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1440"/>
        </w:tabs>
        <w:ind w:left="1440" w:hanging="360"/>
      </w:pPr>
      <w:rPr>
        <w:rFonts w:ascii="Symbol" w:hAnsi="Symbo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D5"/>
    <w:rsid w:val="0003546B"/>
    <w:rsid w:val="000D3E6F"/>
    <w:rsid w:val="000D7B21"/>
    <w:rsid w:val="000E7494"/>
    <w:rsid w:val="00121EDE"/>
    <w:rsid w:val="00124A5E"/>
    <w:rsid w:val="001474A2"/>
    <w:rsid w:val="0015434A"/>
    <w:rsid w:val="001B0F3D"/>
    <w:rsid w:val="001F1F64"/>
    <w:rsid w:val="0020069B"/>
    <w:rsid w:val="002179FC"/>
    <w:rsid w:val="00222168"/>
    <w:rsid w:val="00267BAF"/>
    <w:rsid w:val="00282151"/>
    <w:rsid w:val="00296B23"/>
    <w:rsid w:val="002D5B00"/>
    <w:rsid w:val="002F7A5F"/>
    <w:rsid w:val="00321936"/>
    <w:rsid w:val="00356E14"/>
    <w:rsid w:val="00360AD4"/>
    <w:rsid w:val="00366044"/>
    <w:rsid w:val="00374418"/>
    <w:rsid w:val="004047B2"/>
    <w:rsid w:val="00433C44"/>
    <w:rsid w:val="004375F9"/>
    <w:rsid w:val="0047070F"/>
    <w:rsid w:val="00481E9A"/>
    <w:rsid w:val="00492EC1"/>
    <w:rsid w:val="004A795D"/>
    <w:rsid w:val="004C47F7"/>
    <w:rsid w:val="004F2309"/>
    <w:rsid w:val="005330F8"/>
    <w:rsid w:val="0056077B"/>
    <w:rsid w:val="005B56E4"/>
    <w:rsid w:val="005B59E5"/>
    <w:rsid w:val="005B5DAA"/>
    <w:rsid w:val="005F6E4B"/>
    <w:rsid w:val="00611228"/>
    <w:rsid w:val="006759CF"/>
    <w:rsid w:val="006E6819"/>
    <w:rsid w:val="00761E93"/>
    <w:rsid w:val="0079669D"/>
    <w:rsid w:val="007B124E"/>
    <w:rsid w:val="007D3FDB"/>
    <w:rsid w:val="007E6F4C"/>
    <w:rsid w:val="0081428C"/>
    <w:rsid w:val="00822145"/>
    <w:rsid w:val="0082556A"/>
    <w:rsid w:val="00840B8A"/>
    <w:rsid w:val="008420F4"/>
    <w:rsid w:val="00852BA6"/>
    <w:rsid w:val="008B14AA"/>
    <w:rsid w:val="008C72EF"/>
    <w:rsid w:val="008E11E0"/>
    <w:rsid w:val="00931D64"/>
    <w:rsid w:val="00951319"/>
    <w:rsid w:val="00962967"/>
    <w:rsid w:val="009A3234"/>
    <w:rsid w:val="009D2371"/>
    <w:rsid w:val="00A05514"/>
    <w:rsid w:val="00A2534A"/>
    <w:rsid w:val="00A340ED"/>
    <w:rsid w:val="00A348E4"/>
    <w:rsid w:val="00A543FD"/>
    <w:rsid w:val="00A65C8F"/>
    <w:rsid w:val="00A7452D"/>
    <w:rsid w:val="00B270E5"/>
    <w:rsid w:val="00B501F2"/>
    <w:rsid w:val="00BA0332"/>
    <w:rsid w:val="00BA1394"/>
    <w:rsid w:val="00BA5E96"/>
    <w:rsid w:val="00BD097B"/>
    <w:rsid w:val="00BF5FA6"/>
    <w:rsid w:val="00C23FAE"/>
    <w:rsid w:val="00C273A1"/>
    <w:rsid w:val="00C35651"/>
    <w:rsid w:val="00C445ED"/>
    <w:rsid w:val="00C46AA4"/>
    <w:rsid w:val="00C47732"/>
    <w:rsid w:val="00C531D5"/>
    <w:rsid w:val="00C75746"/>
    <w:rsid w:val="00CA7F0C"/>
    <w:rsid w:val="00CF497B"/>
    <w:rsid w:val="00D279AC"/>
    <w:rsid w:val="00DA218C"/>
    <w:rsid w:val="00DC0B07"/>
    <w:rsid w:val="00DC7DA1"/>
    <w:rsid w:val="00DE0934"/>
    <w:rsid w:val="00E1237F"/>
    <w:rsid w:val="00E152E6"/>
    <w:rsid w:val="00E4549C"/>
    <w:rsid w:val="00E61504"/>
    <w:rsid w:val="00E63FF7"/>
    <w:rsid w:val="00E67B57"/>
    <w:rsid w:val="00E85C55"/>
    <w:rsid w:val="00FD1E19"/>
    <w:rsid w:val="00FD2224"/>
    <w:rsid w:val="00FE57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00"/>
      <o:colormenu v:ext="edit" fillcolor="#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273A1"/>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character" w:styleId="Kommentarzeichen">
    <w:name w:val="annotation reference"/>
    <w:basedOn w:val="Absatz-Standardschriftart"/>
    <w:semiHidden/>
    <w:rsid w:val="009D2371"/>
    <w:rPr>
      <w:sz w:val="16"/>
      <w:szCs w:val="16"/>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styleId="Kommentartext">
    <w:name w:val="annotation text"/>
    <w:basedOn w:val="Standard"/>
    <w:semiHidden/>
    <w:rsid w:val="009D2371"/>
    <w:rPr>
      <w:sz w:val="20"/>
      <w:szCs w:val="20"/>
    </w:rPr>
  </w:style>
  <w:style w:type="paragraph" w:customStyle="1" w:styleId="dpagina">
    <w:name w:val="d.pagina"/>
    <w:basedOn w:val="dtext"/>
    <w:semiHidden/>
    <w:rsid w:val="008420F4"/>
    <w:pPr>
      <w:spacing w:after="0" w:line="240" w:lineRule="auto"/>
      <w:jc w:val="right"/>
    </w:pPr>
    <w:rPr>
      <w:b/>
      <w:sz w:val="22"/>
    </w:rPr>
  </w:style>
  <w:style w:type="paragraph" w:styleId="Kommentarthema">
    <w:name w:val="annotation subject"/>
    <w:basedOn w:val="Kommentartext"/>
    <w:next w:val="Kommentartext"/>
    <w:semiHidden/>
    <w:rsid w:val="009D2371"/>
    <w:rPr>
      <w:b/>
      <w:bCs/>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fusszeile">
    <w:name w:val="d.fusszeile"/>
    <w:rsid w:val="00931D64"/>
    <w:pPr>
      <w:spacing w:line="118" w:lineRule="exact"/>
    </w:pPr>
    <w:rPr>
      <w:rFonts w:ascii="Arial" w:hAnsi="Arial"/>
      <w:noProof/>
      <w:sz w:val="10"/>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273A1"/>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character" w:styleId="Kommentarzeichen">
    <w:name w:val="annotation reference"/>
    <w:basedOn w:val="Absatz-Standardschriftart"/>
    <w:semiHidden/>
    <w:rsid w:val="009D2371"/>
    <w:rPr>
      <w:sz w:val="16"/>
      <w:szCs w:val="16"/>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styleId="Kommentartext">
    <w:name w:val="annotation text"/>
    <w:basedOn w:val="Standard"/>
    <w:semiHidden/>
    <w:rsid w:val="009D2371"/>
    <w:rPr>
      <w:sz w:val="20"/>
      <w:szCs w:val="20"/>
    </w:rPr>
  </w:style>
  <w:style w:type="paragraph" w:customStyle="1" w:styleId="dpagina">
    <w:name w:val="d.pagina"/>
    <w:basedOn w:val="dtext"/>
    <w:semiHidden/>
    <w:rsid w:val="008420F4"/>
    <w:pPr>
      <w:spacing w:after="0" w:line="240" w:lineRule="auto"/>
      <w:jc w:val="right"/>
    </w:pPr>
    <w:rPr>
      <w:b/>
      <w:sz w:val="22"/>
    </w:rPr>
  </w:style>
  <w:style w:type="paragraph" w:styleId="Kommentarthema">
    <w:name w:val="annotation subject"/>
    <w:basedOn w:val="Kommentartext"/>
    <w:next w:val="Kommentartext"/>
    <w:semiHidden/>
    <w:rsid w:val="009D2371"/>
    <w:rPr>
      <w:b/>
      <w:bCs/>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fusszeile">
    <w:name w:val="d.fusszeile"/>
    <w:rsid w:val="00931D64"/>
    <w:pPr>
      <w:spacing w:line="118" w:lineRule="exact"/>
    </w:pPr>
    <w:rPr>
      <w:rFonts w:ascii="Arial" w:hAnsi="Arial"/>
      <w:noProof/>
      <w:sz w:val="10"/>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c\Eigene%20Dateien\Carola\Klett\Darstellendes%20Spiel\Homepage\MS\darstellendes_spiel_Stichwortverz.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darstellendes_spiel_Stichwortverz.dot</Template>
  <TotalTime>0</TotalTime>
  <Pages>2</Pages>
  <Words>478</Words>
  <Characters>3110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0</vt:lpstr>
    </vt:vector>
  </TitlesOfParts>
  <Company>Klett Systeme &amp; Service GmbH</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pc</dc:creator>
  <cp:lastModifiedBy>Riehl, Carina</cp:lastModifiedBy>
  <cp:revision>3</cp:revision>
  <cp:lastPrinted>2009-02-03T13:17:00Z</cp:lastPrinted>
  <dcterms:created xsi:type="dcterms:W3CDTF">2018-02-28T12:55:00Z</dcterms:created>
  <dcterms:modified xsi:type="dcterms:W3CDTF">2018-02-28T12:57:00Z</dcterms:modified>
</cp:coreProperties>
</file>