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3C317F0D" w14:textId="3F37D005" w:rsidR="00143938" w:rsidRPr="008A0AEB" w:rsidRDefault="00143938" w:rsidP="001744EC">
      <w:pPr>
        <w:pStyle w:val="0011621"/>
        <w:spacing w:after="240"/>
      </w:pPr>
      <w:r w:rsidRPr="000752FC">
        <w:t>Sich mit Meinungen zum Roman auseinandersetzen</w:t>
      </w:r>
    </w:p>
    <w:p w14:paraId="51E3E2C0" w14:textId="77777777" w:rsidR="00143938" w:rsidRPr="008A0AEB" w:rsidRDefault="00143938" w:rsidP="00143938">
      <w:pPr>
        <w:pStyle w:val="02AufgabemNrv6n0"/>
      </w:pPr>
      <w:r w:rsidRPr="000A7843">
        <w:rPr>
          <w:rStyle w:val="02AufgabeNrZF"/>
        </w:rPr>
        <w:t> 1 </w:t>
      </w:r>
      <w:r>
        <w:tab/>
      </w:r>
      <w:r w:rsidRPr="008A0AEB">
        <w:rPr>
          <w:lang w:val="fr-FR"/>
        </w:rPr>
        <w:t xml:space="preserve">Juli Zehs Roman </w:t>
      </w:r>
      <w:r w:rsidRPr="00CF1872">
        <w:rPr>
          <w:rStyle w:val="ekvkursiv"/>
          <w:lang w:val="fr-FR"/>
        </w:rPr>
        <w:t xml:space="preserve">Corpus Delicti. </w:t>
      </w:r>
      <w:r w:rsidRPr="00CF1872">
        <w:rPr>
          <w:rStyle w:val="ekvkursiv"/>
        </w:rPr>
        <w:t>Ein Prozess</w:t>
      </w:r>
      <w:r w:rsidRPr="008A0AEB">
        <w:t xml:space="preserve"> wurde überwiegend positiv aufgenommen. </w:t>
      </w:r>
      <w:r w:rsidR="00C67EB5">
        <w:br/>
      </w:r>
      <w:r w:rsidRPr="008A0AEB">
        <w:t>Im Folgenden finden Sie zwei Rezensionen, die sich diametral gegenüberstehen.</w:t>
      </w:r>
      <w:r>
        <w:t xml:space="preserve"> – </w:t>
      </w:r>
      <w:r w:rsidR="00C67EB5">
        <w:br/>
      </w:r>
      <w:r w:rsidRPr="008A0AEB">
        <w:t>Lesen Sie die beiden Rezensionen und stellen Sie Lobendes und Kritisches gegenüber.</w:t>
      </w:r>
    </w:p>
    <w:p w14:paraId="2E7EAF1A" w14:textId="77777777" w:rsidR="00143938" w:rsidRPr="008A0AEB" w:rsidRDefault="00143938" w:rsidP="00C67EB5">
      <w:pPr>
        <w:pStyle w:val="02AufgabeTextv0n0halbeZeile"/>
      </w:pPr>
    </w:p>
    <w:p w14:paraId="4D1039A2" w14:textId="77777777" w:rsidR="00143938" w:rsidRPr="008A0AEB" w:rsidRDefault="00143938" w:rsidP="00143938">
      <w:pPr>
        <w:pStyle w:val="02AufgabemNrv6n0"/>
      </w:pPr>
      <w:r w:rsidRPr="000A7843">
        <w:rPr>
          <w:rStyle w:val="02AufgabeNrZF"/>
        </w:rPr>
        <w:t> 2 </w:t>
      </w:r>
      <w:r>
        <w:tab/>
      </w:r>
      <w:r w:rsidRPr="008A0AEB">
        <w:t>Überprüfen Sie die Meinung der Rezensenten und bilden Sie sich Ihren eigenen Standpunkt.</w:t>
      </w:r>
    </w:p>
    <w:p w14:paraId="027FD6BE" w14:textId="77777777" w:rsidR="00143938" w:rsidRPr="008A0AEB" w:rsidRDefault="00143938" w:rsidP="00C67EB5">
      <w:pPr>
        <w:pStyle w:val="02AufgabeTextv0n0halbeZeile"/>
      </w:pPr>
    </w:p>
    <w:p w14:paraId="7D5DF729" w14:textId="77777777" w:rsidR="00143938" w:rsidRPr="008A0AEB" w:rsidRDefault="00143938" w:rsidP="005401D5">
      <w:pPr>
        <w:pStyle w:val="02AufgabemNrv6n0"/>
        <w:spacing w:before="100"/>
      </w:pPr>
      <w:r w:rsidRPr="000A7843">
        <w:rPr>
          <w:rStyle w:val="02AufgabeNrZF"/>
        </w:rPr>
        <w:t> 3 </w:t>
      </w:r>
      <w:r>
        <w:tab/>
      </w:r>
      <w:r w:rsidRPr="008A0AEB">
        <w:t>Verfassen Sie anschli</w:t>
      </w:r>
      <w:bookmarkStart w:id="0" w:name="_GoBack"/>
      <w:bookmarkEnd w:id="0"/>
      <w:r w:rsidRPr="008A0AEB">
        <w:t>eßend eine eigene Buchbesprechung.</w:t>
      </w:r>
    </w:p>
    <w:p w14:paraId="18DFCC52" w14:textId="5B3432CC" w:rsidR="00143938" w:rsidRDefault="005401D5" w:rsidP="005401D5">
      <w:pPr>
        <w:pStyle w:val="01Fremdtext0"/>
        <w:spacing w:before="200" w:after="20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59264" behindDoc="1" locked="1" layoutInCell="1" allowOverlap="1" wp14:anchorId="619D21CB" wp14:editId="5828F1C1">
            <wp:simplePos x="0" y="0"/>
            <wp:positionH relativeFrom="column">
              <wp:posOffset>-264160</wp:posOffset>
            </wp:positionH>
            <wp:positionV relativeFrom="paragraph">
              <wp:posOffset>329565</wp:posOffset>
            </wp:positionV>
            <wp:extent cx="6127750" cy="3844290"/>
            <wp:effectExtent l="0" t="0" r="6350" b="3810"/>
            <wp:wrapTight wrapText="bothSides">
              <wp:wrapPolygon edited="0">
                <wp:start x="0" y="0"/>
                <wp:lineTo x="0" y="21514"/>
                <wp:lineTo x="21555" y="21514"/>
                <wp:lineTo x="21555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4_##Schriftwarnung##_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7750" cy="3844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3938" w:rsidRPr="008A0AEB">
        <w:rPr>
          <w:rFonts w:eastAsiaTheme="minorHAnsi"/>
          <w:bCs/>
        </w:rPr>
        <w:t>Evelyn Finger: Das Buch der Stunde (2009)</w:t>
      </w:r>
    </w:p>
    <w:p w14:paraId="088A66F2" w14:textId="77777777" w:rsidR="00C67EB5" w:rsidRPr="00E610C6" w:rsidRDefault="00C67EB5" w:rsidP="00C67EB5">
      <w:pPr>
        <w:pStyle w:val="05QuelleBU"/>
      </w:pPr>
      <w:r w:rsidRPr="00C67EB5">
        <w:rPr>
          <w:rStyle w:val="ZFhochgestellt"/>
        </w:rPr>
        <w:t>1</w:t>
      </w:r>
      <w:r>
        <w:tab/>
        <w:t>Pragmatismus, der: ideologiefreie, lösungs- und zweckorientierte Einstellung</w:t>
      </w:r>
    </w:p>
    <w:p w14:paraId="409C0F48" w14:textId="77777777" w:rsidR="00C67EB5" w:rsidRPr="00C30308" w:rsidRDefault="00C67EB5" w:rsidP="00C67EB5">
      <w:pPr>
        <w:pStyle w:val="05QuelleBU"/>
        <w:spacing w:before="0"/>
      </w:pPr>
      <w:r>
        <w:rPr>
          <w:rStyle w:val="Funotenzeichen"/>
        </w:rPr>
        <w:t>2</w:t>
      </w:r>
      <w:r>
        <w:tab/>
      </w:r>
      <w:r w:rsidRPr="00C30308">
        <w:t>d</w:t>
      </w:r>
      <w:r>
        <w:t>iskreditieren: verunglimpfen, abwerten, herabsetzen</w:t>
      </w:r>
    </w:p>
    <w:p w14:paraId="3E030DEE" w14:textId="77777777" w:rsidR="00C67EB5" w:rsidRDefault="00C67EB5" w:rsidP="00C67EB5">
      <w:pPr>
        <w:pStyle w:val="05QuelleBU"/>
        <w:spacing w:before="0"/>
      </w:pPr>
      <w:r>
        <w:rPr>
          <w:rStyle w:val="Funotenzeichen"/>
        </w:rPr>
        <w:t>3</w:t>
      </w:r>
      <w:r>
        <w:tab/>
        <w:t>Reminiszenz, die: Erinnerung, Rückblick</w:t>
      </w:r>
    </w:p>
    <w:p w14:paraId="163A35F6" w14:textId="717D73FC" w:rsidR="00143938" w:rsidRPr="008A0AEB" w:rsidRDefault="00143938" w:rsidP="00C67EB5">
      <w:pPr>
        <w:pStyle w:val="05QuelleBU"/>
        <w:spacing w:before="100"/>
      </w:pPr>
      <w:r>
        <w:t>Quelle</w:t>
      </w:r>
      <w:r w:rsidRPr="00FF1B54">
        <w:t xml:space="preserve">: </w:t>
      </w:r>
      <w:r w:rsidR="001744EC" w:rsidRPr="001744EC">
        <w:t>Evelyn Finger: Zukunftsvision. Das Buch der Stunde. In: DIE ZEIT Nr. 10 v. 26.02.2009</w:t>
      </w:r>
    </w:p>
    <w:p w14:paraId="5234D151" w14:textId="7AC5E19A" w:rsidR="00143938" w:rsidRDefault="005401D5" w:rsidP="005401D5">
      <w:pPr>
        <w:pStyle w:val="01Fremdtext0"/>
        <w:spacing w:after="360"/>
      </w:pPr>
      <w:r>
        <w:rPr>
          <w:noProof/>
          <w:lang w:eastAsia="de-DE"/>
        </w:rPr>
        <w:drawing>
          <wp:anchor distT="0" distB="0" distL="114300" distR="114300" simplePos="0" relativeHeight="251660288" behindDoc="1" locked="1" layoutInCell="1" allowOverlap="1" wp14:anchorId="4A5D1989" wp14:editId="3038C6D2">
            <wp:simplePos x="0" y="0"/>
            <wp:positionH relativeFrom="column">
              <wp:posOffset>-292735</wp:posOffset>
            </wp:positionH>
            <wp:positionV relativeFrom="paragraph">
              <wp:posOffset>340995</wp:posOffset>
            </wp:positionV>
            <wp:extent cx="6400165" cy="1889125"/>
            <wp:effectExtent l="0" t="0" r="635" b="0"/>
            <wp:wrapTight wrapText="bothSides">
              <wp:wrapPolygon edited="0">
                <wp:start x="0" y="0"/>
                <wp:lineTo x="0" y="21346"/>
                <wp:lineTo x="21538" y="21346"/>
                <wp:lineTo x="21538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4_##Schriftwarnung##_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165" cy="188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3938" w:rsidRPr="00C10D50">
        <w:t>Rainer Moritz: Unverträgliche Immunsysteme (2009)</w:t>
      </w:r>
    </w:p>
    <w:p w14:paraId="367BA476" w14:textId="33CD3DC5" w:rsidR="00712815" w:rsidRPr="00143938" w:rsidRDefault="00143938" w:rsidP="00C67EB5">
      <w:pPr>
        <w:pStyle w:val="05QuelleBU"/>
        <w:spacing w:before="100"/>
      </w:pPr>
      <w:r>
        <w:t>Quelle</w:t>
      </w:r>
      <w:r w:rsidRPr="00FF1B54">
        <w:t xml:space="preserve">: </w:t>
      </w:r>
      <w:r w:rsidR="001744EC" w:rsidRPr="001744EC">
        <w:t xml:space="preserve">Rainer Moritz: Unverträgliche Immunsysteme. (18.07.2009) </w:t>
      </w:r>
      <w:r w:rsidR="001744EC">
        <w:br/>
      </w:r>
      <w:r w:rsidR="001744EC" w:rsidRPr="001744EC">
        <w:t>Unter: https://www.nzz.ch/unvertrgliche_immunsysteme-1.3090964 (Zugriff 29.03.2021, gek.)</w:t>
      </w:r>
    </w:p>
    <w:sectPr w:rsidR="00712815" w:rsidRPr="00143938" w:rsidSect="00671422">
      <w:headerReference w:type="default" r:id="rId11"/>
      <w:footerReference w:type="default" r:id="rId12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1C673D1" w14:textId="77777777" w:rsidR="00C83C18" w:rsidRDefault="00C83C18" w:rsidP="00D016E2">
      <w:r>
        <w:separator/>
      </w:r>
    </w:p>
  </w:endnote>
  <w:endnote w:type="continuationSeparator" w:id="0">
    <w:p w14:paraId="6DB3B659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14DF4135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4F79F600" w14:textId="77777777" w:rsidR="00C83C18" w:rsidRDefault="00C83C18" w:rsidP="00B504A8">
          <w:pPr>
            <w:pStyle w:val="09FussText"/>
          </w:pPr>
        </w:p>
      </w:tc>
    </w:tr>
    <w:tr w:rsidR="00C83C18" w:rsidRPr="00D8509D" w14:paraId="5C9EDBD8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53D5549C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3A1BD404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58A17425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44F18F5A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1A897623" wp14:editId="2685DBA8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0215365B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02D2FF8E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73A28A6E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3DA5965E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14866274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027BA881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5CFBFE5B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4A59CA51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5AB7BAAC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71B36D6C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5401D5">
                  <w:t>1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0B79CCF0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55814E1F" w14:textId="77777777" w:rsidR="00C83C18" w:rsidRPr="00E75E6B" w:rsidRDefault="00C83C18" w:rsidP="00B504A8">
          <w:pPr>
            <w:pStyle w:val="09FussPaginarechts"/>
          </w:pPr>
        </w:p>
      </w:tc>
    </w:tr>
  </w:tbl>
  <w:p w14:paraId="5564CC7A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6105A1" w14:textId="77777777" w:rsidR="00C83C18" w:rsidRDefault="00C83C18" w:rsidP="00D016E2">
      <w:r>
        <w:separator/>
      </w:r>
    </w:p>
  </w:footnote>
  <w:footnote w:type="continuationSeparator" w:id="0">
    <w:p w14:paraId="5B9951A9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5533907D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717F1086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32A9CEA1" w14:textId="77777777" w:rsidR="00C83C18" w:rsidRPr="00C61517" w:rsidRDefault="00C83C18" w:rsidP="00C67EB5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 w:rsidR="00C67EB5">
            <w:t xml:space="preserve"> 24</w:t>
          </w:r>
          <w:r w:rsidRPr="00C61517">
            <w:rPr>
              <w:sz w:val="16"/>
              <w:szCs w:val="16"/>
            </w:rPr>
            <w:tab/>
          </w:r>
          <w:r w:rsidR="00C67EB5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5401D5">
            <w:rPr>
              <w:rStyle w:val="09KopfText8ptnegfett"/>
              <w:b/>
              <w:noProof/>
            </w:rPr>
            <w:t>1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5401D5">
            <w:rPr>
              <w:rStyle w:val="09KopfText8ptneg"/>
              <w:noProof/>
            </w:rPr>
            <w:t>1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3768CA55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4A270289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55990B93" w14:textId="77777777"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722EA7">
            <w:rPr>
              <w:rFonts w:cs="Arial"/>
              <w:lang w:eastAsia="zh-CN"/>
            </w:rPr>
            <w:t>V</w:t>
          </w:r>
          <w:r w:rsidR="002E4C52">
            <w:rPr>
              <w:rFonts w:cs="Arial"/>
              <w:lang w:eastAsia="zh-CN"/>
            </w:rPr>
            <w:t>I</w:t>
          </w:r>
          <w:r w:rsidRPr="008C45EC">
            <w:rPr>
              <w:rFonts w:cs="Arial"/>
              <w:lang w:eastAsia="zh-CN"/>
            </w:rPr>
            <w:t>:</w:t>
          </w:r>
        </w:p>
        <w:p w14:paraId="6B5DDD04" w14:textId="77777777" w:rsidR="00C83C18" w:rsidRPr="008C45EC" w:rsidRDefault="002E4C52" w:rsidP="002E5115">
          <w:pPr>
            <w:pStyle w:val="09KopfKolumnentitel"/>
            <w:rPr>
              <w:rFonts w:cs="Arial"/>
              <w:lang w:eastAsia="zh-CN"/>
            </w:rPr>
          </w:pPr>
          <w:r w:rsidRPr="002E4C52">
            <w:t>Deutung und Rezeption</w:t>
          </w:r>
        </w:p>
      </w:tc>
      <w:tc>
        <w:tcPr>
          <w:tcW w:w="3402" w:type="dxa"/>
          <w:shd w:val="clear" w:color="auto" w:fill="auto"/>
          <w:vAlign w:val="bottom"/>
        </w:tcPr>
        <w:p w14:paraId="0AF4E1C3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6F859A54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737E73F6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363AE972" w14:textId="77777777"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7475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2D80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3938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4EC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4C52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01D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2EA7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37B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67EB5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14CB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63A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13E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0E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53ED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4753"/>
    <o:shapelayout v:ext="edit">
      <o:idmap v:ext="edit" data="1"/>
    </o:shapelayout>
  </w:shapeDefaults>
  <w:decimalSymbol w:val=","/>
  <w:listSeparator w:val=";"/>
  <w14:docId w14:val="113D799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hochgestellt">
    <w:name w:val="ZF_hochgestellt"/>
    <w:basedOn w:val="Absatz-Standardschriftart"/>
    <w:uiPriority w:val="1"/>
    <w:qFormat/>
    <w:rsid w:val="00D5263A"/>
    <w:rPr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hochgestellt">
    <w:name w:val="ZF_hochgestellt"/>
    <w:basedOn w:val="Absatz-Standardschriftart"/>
    <w:uiPriority w:val="1"/>
    <w:qFormat/>
    <w:rsid w:val="00D5263A"/>
    <w:rPr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3FC94-FC81-490E-B8EA-379DAE632C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133</Words>
  <Characters>842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974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6</cp:revision>
  <cp:lastPrinted>2019-09-03T10:51:00Z</cp:lastPrinted>
  <dcterms:created xsi:type="dcterms:W3CDTF">2021-03-11T12:28:00Z</dcterms:created>
  <dcterms:modified xsi:type="dcterms:W3CDTF">2021-06-24T14:37:00Z</dcterms:modified>
</cp:coreProperties>
</file>