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A07F29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1C4C8A" w:rsidP="002122CB">
            <w:pPr>
              <w:pStyle w:val="Tabellenueberschrift"/>
            </w:pPr>
            <w:bookmarkStart w:id="0" w:name="_GoBack"/>
            <w:bookmarkEnd w:id="0"/>
            <w:r>
              <w:t>Spot on language</w:t>
            </w:r>
          </w:p>
        </w:tc>
      </w:tr>
      <w:tr w:rsidR="0073771E" w:rsidRPr="00F75E51" w:rsidTr="00A07F29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A07F29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A07F29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A07F29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1C4C8A" w:rsidRPr="00A07F29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to vary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variieren; (sich) ändern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  <w:tabs>
                <w:tab w:val="left" w:pos="417"/>
              </w:tabs>
            </w:pPr>
            <w:r w:rsidRPr="004D20F7">
              <w:t>1.</w:t>
            </w:r>
            <w:r w:rsidR="00A07F29">
              <w:t xml:space="preserve"> </w:t>
            </w:r>
            <w:r w:rsidR="00A07F29">
              <w:tab/>
            </w:r>
            <w:r w:rsidRPr="004D20F7">
              <w:t xml:space="preserve">If your feelings vary a lot, they change </w:t>
            </w:r>
            <w:r w:rsidR="00A07F29">
              <w:br/>
            </w:r>
            <w:r w:rsidR="00A07F29">
              <w:tab/>
            </w:r>
            <w:r w:rsidRPr="004D20F7">
              <w:t xml:space="preserve">a lot. </w:t>
            </w:r>
            <w:r w:rsidRPr="004D20F7">
              <w:br/>
              <w:t>2.</w:t>
            </w:r>
            <w:r w:rsidR="00A07F29">
              <w:t xml:space="preserve"> </w:t>
            </w:r>
            <w:r w:rsidR="00A07F29">
              <w:tab/>
            </w:r>
            <w:r w:rsidRPr="004D20F7">
              <w:t xml:space="preserve">If you vary your vocabulary, you try not </w:t>
            </w:r>
            <w:r w:rsidR="00A07F29">
              <w:t xml:space="preserve"> </w:t>
            </w:r>
            <w:r w:rsidR="00A07F29">
              <w:tab/>
            </w:r>
            <w:r w:rsidRPr="004D20F7">
              <w:t>to repeat the same words.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 xml:space="preserve">to vary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variation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various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  <w:p w:rsidR="001C4C8A" w:rsidRDefault="001C4C8A" w:rsidP="00A07F29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varier</w:t>
            </w:r>
          </w:p>
        </w:tc>
      </w:tr>
      <w:tr w:rsidR="001C4C8A" w:rsidRPr="00A07F29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A07F29" w:rsidRDefault="001C4C8A" w:rsidP="00A07F29">
            <w:pPr>
              <w:pStyle w:val="Liste"/>
              <w:spacing w:line="240" w:lineRule="auto"/>
              <w:rPr>
                <w:lang w:val="en-US"/>
              </w:rPr>
            </w:pPr>
            <w:r w:rsidRPr="00A07F29">
              <w:rPr>
                <w:lang w:val="en-US"/>
              </w:rPr>
              <w:t xml:space="preserve">concise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A07F29" w:rsidRDefault="001C4C8A" w:rsidP="00A07F29">
            <w:pPr>
              <w:pStyle w:val="deutsch"/>
              <w:rPr>
                <w:lang w:val="en-US"/>
              </w:rPr>
            </w:pPr>
            <w:r w:rsidRPr="00A07F29">
              <w:rPr>
                <w:lang w:val="en-US"/>
              </w:rPr>
              <w:t>präzise; kurz; prägnant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In a formal letter you should keep to a concise style.</w:t>
            </w:r>
          </w:p>
        </w:tc>
      </w:tr>
      <w:tr w:rsidR="001C4C8A" w:rsidRPr="00A07F29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clumsy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schwerfällig; unbeholfen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 always feel clumsy when I’m around people I don’t know.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repetitive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sich wiederholend; monoton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Erlaeuterung"/>
              <w:spacing w:line="240" w:lineRule="auto"/>
            </w:pPr>
            <w:r>
              <w:t xml:space="preserve">repetitive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repeat</w:t>
            </w:r>
            <w:r>
              <w:t xml:space="preserve"> </w:t>
            </w:r>
            <w:r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assumption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Annahme; Voraussetzung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Erlaeuterung"/>
              <w:spacing w:line="240" w:lineRule="auto"/>
            </w:pPr>
            <w:r>
              <w:t xml:space="preserve">assumption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assume</w:t>
            </w:r>
            <w:r>
              <w:t xml:space="preserve"> </w:t>
            </w:r>
            <w:r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probability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Wahrscheinlichkeit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</w:pPr>
            <w:r w:rsidRPr="004D20F7">
              <w:t>If you don’t understand, it’s advisable to ask for an explanation.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 xml:space="preserve">probability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probable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probabilité </w:t>
            </w:r>
            <w:r w:rsidRPr="004D20F7">
              <w:rPr>
                <w:rStyle w:val="kursivErlaeuterung"/>
              </w:rPr>
              <w:t>(f)</w:t>
            </w:r>
          </w:p>
        </w:tc>
      </w:tr>
      <w:tr w:rsidR="001C4C8A" w:rsidRPr="00A07F29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advisable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ratsam; empfehlenswert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advisable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advise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(v)</w:t>
            </w:r>
            <w:r w:rsidRPr="004D20F7">
              <w:rPr>
                <w:lang w:val="en-GB"/>
              </w:rP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advice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(n)</w:t>
            </w:r>
          </w:p>
        </w:tc>
      </w:tr>
      <w:tr w:rsidR="001C4C8A" w:rsidRPr="00A07F29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biased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voreingenommen; parteiisch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"/>
            </w:pPr>
            <w:r w:rsidRPr="004D20F7">
              <w:t>A biased opinion is unfair because it only sees one side (and is influenced by personal opinions etc.).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misleading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irreführend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</w:pPr>
            <w:r w:rsidRPr="004D20F7">
              <w:t>misleading information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 xml:space="preserve">misleading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mislead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downright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völlig; ganz und gar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</w:pPr>
            <w:r w:rsidRPr="004D20F7">
              <w:t>It’s downright wrong to call him a liar.</w:t>
            </w:r>
          </w:p>
          <w:p w:rsidR="001C4C8A" w:rsidRDefault="001C4C8A" w:rsidP="00A07F29">
            <w:pPr>
              <w:pStyle w:val="InhaltListe"/>
            </w:pPr>
            <w:r>
              <w:t>downright = completely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to distinguish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unterscheiden; klar erkennen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</w:pPr>
            <w:r w:rsidRPr="004D20F7">
              <w:t>to distinguish between (=zwischen)/from (=von)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 xml:space="preserve">to distinguish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distinction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distinct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  <w:p w:rsidR="001C4C8A" w:rsidRDefault="001C4C8A" w:rsidP="00A07F29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distinguer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overload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 xml:space="preserve">Überladung; </w:t>
            </w:r>
            <w:r w:rsidR="00121814">
              <w:br/>
            </w:r>
            <w:r>
              <w:rPr>
                <w:rStyle w:val="kursivErlaeuterung"/>
              </w:rPr>
              <w:t>hier:</w:t>
            </w:r>
            <w:r>
              <w:t xml:space="preserve"> Überangebot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Erlaeuterung"/>
              <w:spacing w:line="240" w:lineRule="auto"/>
            </w:pPr>
            <w:r>
              <w:t>an information overload</w:t>
            </w:r>
          </w:p>
        </w:tc>
      </w:tr>
      <w:tr w:rsidR="001C4C8A" w:rsidRPr="00A07F29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to be confronted with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konfrontiert werden mit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</w:pPr>
            <w:r w:rsidRPr="004D20F7">
              <w:t>to face something that you have to deal with or react to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 xml:space="preserve">to be confronted with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confrontation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to reveal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offenbaren; aufdecken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</w:pPr>
            <w:r w:rsidRPr="004D20F7">
              <w:t>The report revealed that the company had published misleading information.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>to reveal = to show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 xml:space="preserve">to reveal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revelation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revelatory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  <w:p w:rsidR="001C4C8A" w:rsidRDefault="001C4C8A" w:rsidP="00A07F29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révéler</w:t>
            </w:r>
          </w:p>
        </w:tc>
      </w:tr>
      <w:tr w:rsidR="001C4C8A" w:rsidRPr="009D6897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lastRenderedPageBreak/>
              <w:t xml:space="preserve">delivery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Lieferung; Auslieferung; Zustellung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InhaltListe"/>
            </w:pPr>
            <w:r w:rsidRPr="004D20F7">
              <w:t>Newspaper delivery is between 6 am and 10 am.</w:t>
            </w:r>
          </w:p>
          <w:p w:rsidR="001C4C8A" w:rsidRPr="004D20F7" w:rsidRDefault="001C4C8A" w:rsidP="00A07F29">
            <w:pPr>
              <w:pStyle w:val="InhaltListe"/>
            </w:pPr>
            <w:r w:rsidRPr="004D20F7">
              <w:t>taking goods or letters</w:t>
            </w:r>
            <w:r>
              <w:t xml:space="preserve"> that have been sent to people</w:t>
            </w:r>
          </w:p>
          <w:p w:rsidR="001C4C8A" w:rsidRDefault="001C4C8A" w:rsidP="00A07F29">
            <w:pPr>
              <w:pStyle w:val="InhaltListe"/>
            </w:pPr>
            <w:r>
              <w:t xml:space="preserve">delivery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deliver </w:t>
            </w:r>
            <w:r>
              <w:rPr>
                <w:rStyle w:val="kursivErlaeuterung"/>
              </w:rPr>
              <w:t>(v)</w:t>
            </w:r>
          </w:p>
        </w:tc>
      </w:tr>
      <w:tr w:rsidR="001C4C8A" w:rsidRPr="00A07F29" w:rsidTr="00A07F29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Liste"/>
              <w:spacing w:line="240" w:lineRule="auto"/>
            </w:pPr>
            <w:r>
              <w:t xml:space="preserve">public authorities </w:t>
            </w:r>
            <w:r>
              <w:rPr>
                <w:i/>
                <w:iCs/>
              </w:rPr>
              <w:t>(pl)</w:t>
            </w:r>
            <w:r>
              <w:t xml:space="preserve">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Default="001C4C8A" w:rsidP="00A07F29">
            <w:pPr>
              <w:pStyle w:val="deutsch"/>
            </w:pPr>
            <w:r>
              <w:t>die öffentliche Hand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C4C8A" w:rsidRPr="004D20F7" w:rsidRDefault="001C4C8A" w:rsidP="00A07F29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Public authorities control private companies.</w:t>
            </w:r>
          </w:p>
        </w:tc>
      </w:tr>
    </w:tbl>
    <w:p w:rsidR="00206114" w:rsidRPr="009D6897" w:rsidRDefault="00206114" w:rsidP="00A07F29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40" w:rsidRDefault="00A13140" w:rsidP="009203C4">
      <w:r>
        <w:separator/>
      </w:r>
    </w:p>
  </w:endnote>
  <w:endnote w:type="continuationSeparator" w:id="0">
    <w:p w:rsidR="00A13140" w:rsidRDefault="00A13140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022267B2" wp14:editId="7CF0CFEF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372CC6" w:rsidRDefault="00372CC6" w:rsidP="00372CC6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B421DE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40" w:rsidRDefault="00A13140" w:rsidP="009203C4">
      <w:r>
        <w:separator/>
      </w:r>
    </w:p>
  </w:footnote>
  <w:footnote w:type="continuationSeparator" w:id="0">
    <w:p w:rsidR="00A13140" w:rsidRDefault="00A13140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A07F29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9D6897" w:rsidRPr="009D6897">
      <w:rPr>
        <w:rFonts w:eastAsia="Calibri" w:cs="Arial"/>
        <w:bCs/>
        <w:color w:val="000000"/>
        <w:szCs w:val="20"/>
        <w:lang w:val="en-GB"/>
      </w:rPr>
      <w:t>The digital age</w:t>
    </w:r>
    <w:r w:rsidR="009D6897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6DB4"/>
    <w:rsid w:val="00097C15"/>
    <w:rsid w:val="000A679B"/>
    <w:rsid w:val="000E3862"/>
    <w:rsid w:val="000F2C89"/>
    <w:rsid w:val="000F3255"/>
    <w:rsid w:val="001003E8"/>
    <w:rsid w:val="00102402"/>
    <w:rsid w:val="00104133"/>
    <w:rsid w:val="001155D5"/>
    <w:rsid w:val="00121814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5159"/>
    <w:rsid w:val="002A56CF"/>
    <w:rsid w:val="002E5D91"/>
    <w:rsid w:val="002F46BB"/>
    <w:rsid w:val="00302847"/>
    <w:rsid w:val="003057D1"/>
    <w:rsid w:val="00340654"/>
    <w:rsid w:val="00342450"/>
    <w:rsid w:val="00356B60"/>
    <w:rsid w:val="00360CD7"/>
    <w:rsid w:val="00372CC6"/>
    <w:rsid w:val="003B79F8"/>
    <w:rsid w:val="003C41D6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82F14"/>
    <w:rsid w:val="004A44B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02874"/>
    <w:rsid w:val="006155EF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84783"/>
    <w:rsid w:val="00894AF2"/>
    <w:rsid w:val="00895781"/>
    <w:rsid w:val="008A0A17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07F29"/>
    <w:rsid w:val="00A108D9"/>
    <w:rsid w:val="00A13140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11394"/>
    <w:rsid w:val="00B1678A"/>
    <w:rsid w:val="00B3066F"/>
    <w:rsid w:val="00B421DE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C072EC"/>
    <w:rsid w:val="00C115E0"/>
    <w:rsid w:val="00C1488A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5F7F"/>
    <w:rsid w:val="00E578E3"/>
    <w:rsid w:val="00E6364B"/>
    <w:rsid w:val="00E81219"/>
    <w:rsid w:val="00E97358"/>
    <w:rsid w:val="00EC723A"/>
    <w:rsid w:val="00ED4039"/>
    <w:rsid w:val="00EF3E23"/>
    <w:rsid w:val="00F01927"/>
    <w:rsid w:val="00F178BD"/>
    <w:rsid w:val="00F30157"/>
    <w:rsid w:val="00F3564F"/>
    <w:rsid w:val="00F44110"/>
    <w:rsid w:val="00F6252F"/>
    <w:rsid w:val="00F65E93"/>
    <w:rsid w:val="00F75E51"/>
    <w:rsid w:val="00F823D9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1648</Characters>
  <Application>Microsoft Office Word</Application>
  <DocSecurity>0</DocSecurity>
  <Lines>85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2018-03-05T11:06:00Z</dcterms:created>
  <dcterms:modified xsi:type="dcterms:W3CDTF">2018-03-13T09:58:00Z</dcterms:modified>
  <cp:category/>
</cp:coreProperties>
</file>