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11B" w:rsidRDefault="00E3011B" w:rsidP="00E3011B">
      <w:pPr>
        <w:pStyle w:val="ekvue1arial"/>
      </w:pPr>
      <w:r>
        <w:t>Prüfungsaufgaben</w:t>
      </w:r>
    </w:p>
    <w:p w:rsidR="00E3011B" w:rsidRDefault="00E3011B" w:rsidP="00E3011B"/>
    <w:tbl>
      <w:tblPr>
        <w:tblW w:w="9354" w:type="dxa"/>
        <w:tblBorders>
          <w:top w:val="single" w:sz="4" w:space="0" w:color="auto"/>
          <w:bottom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67"/>
        <w:gridCol w:w="8787"/>
      </w:tblGrid>
      <w:tr w:rsidR="00152EE8" w:rsidRPr="00E3011B" w:rsidTr="00E01A10">
        <w:trPr>
          <w:cantSplit/>
          <w:trHeight w:val="284"/>
        </w:trPr>
        <w:tc>
          <w:tcPr>
            <w:tcW w:w="567" w:type="dxa"/>
            <w:shd w:val="clear" w:color="auto" w:fill="FFFFFF" w:themeFill="background1"/>
            <w:tcMar>
              <w:left w:w="0" w:type="dxa"/>
            </w:tcMar>
          </w:tcPr>
          <w:p w:rsidR="00152EE8" w:rsidRPr="0081749F" w:rsidRDefault="00152EE8" w:rsidP="0081749F">
            <w:pPr>
              <w:rPr>
                <w:rStyle w:val="ekvfett"/>
              </w:rPr>
            </w:pPr>
            <w:r w:rsidRPr="0081749F">
              <w:rPr>
                <w:rStyle w:val="ekvfett"/>
              </w:rPr>
              <w:t>Nr.</w:t>
            </w:r>
          </w:p>
        </w:tc>
        <w:tc>
          <w:tcPr>
            <w:tcW w:w="8787" w:type="dxa"/>
            <w:shd w:val="clear" w:color="auto" w:fill="FFFFFF" w:themeFill="background1"/>
          </w:tcPr>
          <w:p w:rsidR="00152EE8" w:rsidRPr="00E3011B" w:rsidRDefault="00152EE8" w:rsidP="004D39BA">
            <w:pPr>
              <w:rPr>
                <w:rStyle w:val="ekvfett"/>
              </w:rPr>
            </w:pPr>
            <w:r>
              <w:rPr>
                <w:rStyle w:val="ekvfett"/>
              </w:rPr>
              <w:t>Lösung</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1.</w:t>
            </w:r>
          </w:p>
        </w:tc>
        <w:tc>
          <w:tcPr>
            <w:tcW w:w="8787" w:type="dxa"/>
          </w:tcPr>
          <w:p w:rsidR="00152EE8" w:rsidRPr="003A6E1B" w:rsidRDefault="00152EE8" w:rsidP="00152EE8">
            <w:r>
              <w:t>C</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2.</w:t>
            </w:r>
          </w:p>
        </w:tc>
        <w:tc>
          <w:tcPr>
            <w:tcW w:w="8787" w:type="dxa"/>
          </w:tcPr>
          <w:p w:rsidR="00152EE8" w:rsidRPr="003A6E1B" w:rsidRDefault="00152EE8" w:rsidP="00152EE8">
            <w:r>
              <w:t>B</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3.</w:t>
            </w:r>
          </w:p>
        </w:tc>
        <w:tc>
          <w:tcPr>
            <w:tcW w:w="8787" w:type="dxa"/>
          </w:tcPr>
          <w:p w:rsidR="00152EE8" w:rsidRPr="003A6E1B" w:rsidRDefault="00152EE8" w:rsidP="00152EE8">
            <w:r>
              <w:t>E</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4.</w:t>
            </w:r>
          </w:p>
        </w:tc>
        <w:tc>
          <w:tcPr>
            <w:tcW w:w="8787" w:type="dxa"/>
          </w:tcPr>
          <w:p w:rsidR="00152EE8" w:rsidRPr="003A6E1B" w:rsidRDefault="00152EE8" w:rsidP="00152EE8">
            <w:r>
              <w:t>D</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5.</w:t>
            </w:r>
          </w:p>
        </w:tc>
        <w:tc>
          <w:tcPr>
            <w:tcW w:w="8787" w:type="dxa"/>
          </w:tcPr>
          <w:p w:rsidR="00152EE8" w:rsidRPr="003A6E1B" w:rsidRDefault="00152EE8" w:rsidP="00152EE8">
            <w:r>
              <w:t>B</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6.</w:t>
            </w:r>
          </w:p>
        </w:tc>
        <w:tc>
          <w:tcPr>
            <w:tcW w:w="8787" w:type="dxa"/>
          </w:tcPr>
          <w:p w:rsidR="00152EE8" w:rsidRPr="003A6E1B" w:rsidRDefault="00152EE8" w:rsidP="00152EE8">
            <w:r>
              <w:t>E</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7. A</w:t>
            </w:r>
          </w:p>
        </w:tc>
        <w:tc>
          <w:tcPr>
            <w:tcW w:w="8787" w:type="dxa"/>
          </w:tcPr>
          <w:p w:rsidR="00152EE8" w:rsidRPr="003A6E1B" w:rsidRDefault="00152EE8" w:rsidP="00152EE8">
            <w:r>
              <w:t>Ja. Der Unterricht beginnt erst nach 9:00 Uhr (§</w:t>
            </w:r>
            <w:r w:rsidRPr="00152EE8">
              <w:t> </w:t>
            </w:r>
            <w:r>
              <w:t>9 [1] Nr. 2) und dauert nicht mehr als 5 Unterrichtsstunden (ebd.).</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 xml:space="preserve">7. B </w:t>
            </w:r>
          </w:p>
        </w:tc>
        <w:tc>
          <w:tcPr>
            <w:tcW w:w="8787" w:type="dxa"/>
          </w:tcPr>
          <w:p w:rsidR="00152EE8" w:rsidRDefault="00152EE8" w:rsidP="00152EE8">
            <w:r>
              <w:t>Ja. Der Unterricht dauert nicht mehr als 5 Unterrichtsstunden (§</w:t>
            </w:r>
            <w:r w:rsidRPr="00152EE8">
              <w:t> </w:t>
            </w:r>
            <w:r>
              <w:t xml:space="preserve">9 [1] Nr. 2). Die gesamte Arbeitszeit </w:t>
            </w:r>
            <w:r>
              <w:br/>
              <w:t>darf einschließlich Berufsschule jedoch höchstens 8 Stunden betragen.</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8.</w:t>
            </w:r>
          </w:p>
        </w:tc>
        <w:tc>
          <w:tcPr>
            <w:tcW w:w="8787" w:type="dxa"/>
          </w:tcPr>
          <w:p w:rsidR="00152EE8" w:rsidRPr="003A6E1B" w:rsidRDefault="00152EE8" w:rsidP="00152EE8">
            <w:r>
              <w:t>B</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9.</w:t>
            </w:r>
          </w:p>
        </w:tc>
        <w:tc>
          <w:tcPr>
            <w:tcW w:w="8787" w:type="dxa"/>
          </w:tcPr>
          <w:p w:rsidR="00152EE8" w:rsidRPr="003A6E1B" w:rsidRDefault="00152EE8" w:rsidP="00152EE8">
            <w:r>
              <w:t>A</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10.</w:t>
            </w:r>
          </w:p>
        </w:tc>
        <w:tc>
          <w:tcPr>
            <w:tcW w:w="8787" w:type="dxa"/>
          </w:tcPr>
          <w:p w:rsidR="00152EE8" w:rsidRPr="003A6E1B" w:rsidRDefault="00152EE8" w:rsidP="00152EE8">
            <w:r>
              <w:t>B</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11.</w:t>
            </w:r>
          </w:p>
        </w:tc>
        <w:tc>
          <w:tcPr>
            <w:tcW w:w="8787" w:type="dxa"/>
          </w:tcPr>
          <w:p w:rsidR="00152EE8" w:rsidRDefault="00152EE8" w:rsidP="00152EE8">
            <w:r>
              <w:t xml:space="preserve">Vorteil für das Unternehmen: Gewinn an Effizienz durch Qualifikation, die auf dem neuesten Stand ist. Bessere Einsetzbarkeit der Arbeitnehmer. </w:t>
            </w:r>
          </w:p>
          <w:p w:rsidR="00152EE8" w:rsidRPr="003A6E1B" w:rsidRDefault="00152EE8" w:rsidP="005310B9">
            <w:r>
              <w:t>Vorteil für Beschäftigte: Qualifikation behält ihren Wert (wichtig für den Aufstieg im Betrieb/beim Wechsel der Arbeitsstelle). Fortbildungen erhöhen die Chance auf einen neuen Job bei Arbeitslosigkeit.</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12.</w:t>
            </w:r>
          </w:p>
        </w:tc>
        <w:tc>
          <w:tcPr>
            <w:tcW w:w="8787" w:type="dxa"/>
          </w:tcPr>
          <w:p w:rsidR="00152EE8" w:rsidRPr="003A6E1B" w:rsidRDefault="00152EE8" w:rsidP="00152EE8">
            <w:r>
              <w:t>A</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13.</w:t>
            </w:r>
          </w:p>
        </w:tc>
        <w:tc>
          <w:tcPr>
            <w:tcW w:w="8787" w:type="dxa"/>
          </w:tcPr>
          <w:p w:rsidR="00152EE8" w:rsidRPr="00E01A10" w:rsidRDefault="00152EE8" w:rsidP="00152EE8">
            <w:pPr>
              <w:rPr>
                <w:rStyle w:val="ekvkursiv"/>
              </w:rPr>
            </w:pPr>
            <w:r w:rsidRPr="00E01A10">
              <w:rPr>
                <w:rStyle w:val="ekvkursiv"/>
              </w:rPr>
              <w:t>individuelle Lösungen</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14.</w:t>
            </w:r>
          </w:p>
        </w:tc>
        <w:tc>
          <w:tcPr>
            <w:tcW w:w="8787" w:type="dxa"/>
          </w:tcPr>
          <w:p w:rsidR="00152EE8" w:rsidRPr="003A6E1B" w:rsidRDefault="00152EE8" w:rsidP="00152EE8">
            <w:r>
              <w:t>C</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15.</w:t>
            </w:r>
          </w:p>
        </w:tc>
        <w:tc>
          <w:tcPr>
            <w:tcW w:w="8787" w:type="dxa"/>
          </w:tcPr>
          <w:p w:rsidR="00152EE8" w:rsidRPr="003A6E1B" w:rsidRDefault="00152EE8" w:rsidP="00152EE8">
            <w:r>
              <w:t>C</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16.</w:t>
            </w:r>
          </w:p>
        </w:tc>
        <w:tc>
          <w:tcPr>
            <w:tcW w:w="8787" w:type="dxa"/>
          </w:tcPr>
          <w:p w:rsidR="00152EE8" w:rsidRPr="003A6E1B" w:rsidRDefault="00152EE8" w:rsidP="00152EE8">
            <w:r>
              <w:t>B</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17.</w:t>
            </w:r>
          </w:p>
        </w:tc>
        <w:tc>
          <w:tcPr>
            <w:tcW w:w="8787" w:type="dxa"/>
          </w:tcPr>
          <w:p w:rsidR="00152EE8" w:rsidRPr="003A6E1B" w:rsidRDefault="00152EE8" w:rsidP="00152EE8">
            <w:r>
              <w:t>A</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18.</w:t>
            </w:r>
          </w:p>
        </w:tc>
        <w:tc>
          <w:tcPr>
            <w:tcW w:w="8787" w:type="dxa"/>
          </w:tcPr>
          <w:p w:rsidR="00152EE8" w:rsidRPr="003A6E1B" w:rsidRDefault="00152EE8" w:rsidP="00152EE8">
            <w:r>
              <w:t>D</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19.</w:t>
            </w:r>
          </w:p>
        </w:tc>
        <w:tc>
          <w:tcPr>
            <w:tcW w:w="8787" w:type="dxa"/>
          </w:tcPr>
          <w:p w:rsidR="00152EE8" w:rsidRPr="003A6E1B" w:rsidRDefault="00152EE8" w:rsidP="00152EE8">
            <w:r>
              <w:rPr>
                <w:rFonts w:eastAsia="Calibri"/>
              </w:rPr>
              <w:t>Erasmus+ Schulbildung (Schüler), Erasmus+ Berufsausbildung (Auszubildende, Arbeitnehmer), Erasmus+ Erwachsenenbildung (Arbeitnehmer/andere Erwachsene), Erasmus+ Hochschulbildung (Studenten/Beschäftigte an Hochschulen).</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20.</w:t>
            </w:r>
          </w:p>
        </w:tc>
        <w:tc>
          <w:tcPr>
            <w:tcW w:w="8787" w:type="dxa"/>
          </w:tcPr>
          <w:p w:rsidR="00152EE8" w:rsidRPr="00E01A10" w:rsidRDefault="00152EE8" w:rsidP="00152EE8">
            <w:pPr>
              <w:rPr>
                <w:rStyle w:val="ekvkursiv"/>
              </w:rPr>
            </w:pPr>
            <w:r w:rsidRPr="00E01A10">
              <w:rPr>
                <w:rStyle w:val="ekvkursiv"/>
              </w:rPr>
              <w:t>individuelle Lösungen</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21.</w:t>
            </w:r>
          </w:p>
        </w:tc>
        <w:tc>
          <w:tcPr>
            <w:tcW w:w="8787" w:type="dxa"/>
          </w:tcPr>
          <w:p w:rsidR="00152EE8" w:rsidRPr="003A6E1B" w:rsidRDefault="00152EE8" w:rsidP="00152EE8">
            <w:r>
              <w:t>C</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22.</w:t>
            </w:r>
          </w:p>
        </w:tc>
        <w:tc>
          <w:tcPr>
            <w:tcW w:w="8787" w:type="dxa"/>
          </w:tcPr>
          <w:p w:rsidR="00152EE8" w:rsidRPr="003A6E1B" w:rsidRDefault="00152EE8" w:rsidP="00152EE8">
            <w:r>
              <w:t>E</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lastRenderedPageBreak/>
              <w:t>23.</w:t>
            </w:r>
          </w:p>
        </w:tc>
        <w:tc>
          <w:tcPr>
            <w:tcW w:w="8787" w:type="dxa"/>
          </w:tcPr>
          <w:p w:rsidR="00152EE8" w:rsidRPr="003A6E1B" w:rsidRDefault="00152EE8" w:rsidP="00152EE8">
            <w:r>
              <w:t>Die Zusammenarbeit im Betrieb darf durch den persönlichen Konflikt zwischen Mitarbeitern nicht gefährdet werden. Verbindliche Regeln für den Umgang miteinander erleichtern in Konflikten diese Zusammenarbeit. Diese Absprachen dürfen aber keinen der Beteiligten unangemessen benachteiligen. Es ist hilfreich, wenn sie von Personen erarbeitet werden, die am Konflikt nicht beteiligt sind. Verstöße gegen die gefundenen Regeln dürfen nicht hingenommen werden.</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24.</w:t>
            </w:r>
          </w:p>
        </w:tc>
        <w:tc>
          <w:tcPr>
            <w:tcW w:w="8787" w:type="dxa"/>
          </w:tcPr>
          <w:p w:rsidR="00152EE8" w:rsidRDefault="00152EE8" w:rsidP="00E01A10">
            <w:pPr>
              <w:pStyle w:val="ekvaufzhlung"/>
            </w:pPr>
            <w:r>
              <w:t>A</w:t>
            </w:r>
            <w:r>
              <w:tab/>
              <w:t>Beziehungsebene: Es wird eine unangemessene Bevorzugung einer Kollegin durch den Chef kritisiert. Es ist eine Kritik am Chef.</w:t>
            </w:r>
          </w:p>
          <w:p w:rsidR="00152EE8" w:rsidRDefault="00152EE8" w:rsidP="00E01A10">
            <w:pPr>
              <w:pStyle w:val="ekvaufzhlung"/>
            </w:pPr>
            <w:r>
              <w:t>B</w:t>
            </w:r>
            <w:r>
              <w:tab/>
              <w:t>Sachebene: Die Arbeit soll anders verteilt werden. (Ein persönlicher Unterton ist spürbar, aber die Sachebene dominiert.)</w:t>
            </w:r>
          </w:p>
          <w:p w:rsidR="00152EE8" w:rsidRDefault="00152EE8" w:rsidP="00E01A10">
            <w:pPr>
              <w:pStyle w:val="ekvaufzhlung"/>
            </w:pPr>
            <w:r>
              <w:t>C</w:t>
            </w:r>
            <w:r>
              <w:tab/>
              <w:t xml:space="preserve">Beziehungsebene: Dem Mitarbeiter wird als Motiv für die Nichteinhaltung von Terminen unterstellt, dass er sich Privilegien herausnimmt, die ihm nicht zustehen. </w:t>
            </w:r>
          </w:p>
          <w:p w:rsidR="00152EE8" w:rsidRDefault="00152EE8" w:rsidP="00E01A10">
            <w:pPr>
              <w:pStyle w:val="ekvaufzhlung"/>
            </w:pPr>
            <w:r>
              <w:t>D</w:t>
            </w:r>
            <w:r>
              <w:tab/>
              <w:t xml:space="preserve">Sachebene: Es wird eine bestimmte Form der Gegenleistung für anstehende Überstunden gefordert (bzw. die Forderung für die Zukunft angekündigt). </w:t>
            </w:r>
          </w:p>
          <w:p w:rsidR="00152EE8" w:rsidRPr="003A6E1B" w:rsidRDefault="00152EE8" w:rsidP="00E01A10">
            <w:pPr>
              <w:pStyle w:val="ekvaufzhlung"/>
            </w:pPr>
            <w:r>
              <w:t>E</w:t>
            </w:r>
            <w:r w:rsidR="00E01A10">
              <w:tab/>
            </w:r>
            <w:r>
              <w:t xml:space="preserve">Ein Konflikt auf der Beziehungsebene, der sich als Sachkonflikt tarnt: </w:t>
            </w:r>
            <w:r w:rsidR="005D0B3F">
              <w:t>„</w:t>
            </w:r>
            <w:r>
              <w:t>Die da oben machen Feierabend, wenn wir noch schuften müssen.</w:t>
            </w:r>
            <w:r w:rsidR="005D0B3F">
              <w:t>“</w:t>
            </w:r>
            <w:bookmarkStart w:id="0" w:name="_GoBack"/>
            <w:bookmarkEnd w:id="0"/>
            <w:r>
              <w:t xml:space="preserve"> Das heißt Kritik an Privilegien, mangelnder Gerechtigkeit … Der Einwand, dass niemand da ist, wenn ein Problem auftaucht, ist eine Aussage auf der Sachebene, hat hier aber die Funktion, die Kritik an den Privilegien zu bebildern. – Wäre es ein Konflikt auf der Sachebene, würde z.</w:t>
            </w:r>
            <w:r w:rsidRPr="00152EE8">
              <w:t> </w:t>
            </w:r>
            <w:r>
              <w:t>B. die Aussage lauten: „Die Chefetage soll organisieren, dass auch am Freitagnachmittag immer ein Ansprechpartner da ist, falls ein Problem auftaucht.“</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25.</w:t>
            </w:r>
          </w:p>
        </w:tc>
        <w:tc>
          <w:tcPr>
            <w:tcW w:w="8787" w:type="dxa"/>
          </w:tcPr>
          <w:p w:rsidR="00152EE8" w:rsidRPr="0019528C" w:rsidRDefault="00152EE8" w:rsidP="00152EE8">
            <w:r>
              <w:t>D</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26.</w:t>
            </w:r>
          </w:p>
        </w:tc>
        <w:tc>
          <w:tcPr>
            <w:tcW w:w="8787" w:type="dxa"/>
          </w:tcPr>
          <w:p w:rsidR="00152EE8" w:rsidRPr="003A6E1B" w:rsidRDefault="00152EE8" w:rsidP="00152EE8">
            <w:r>
              <w:t>C</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27.</w:t>
            </w:r>
          </w:p>
        </w:tc>
        <w:tc>
          <w:tcPr>
            <w:tcW w:w="8787" w:type="dxa"/>
          </w:tcPr>
          <w:p w:rsidR="00152EE8" w:rsidRPr="003A6E1B" w:rsidRDefault="00152EE8" w:rsidP="00152EE8">
            <w:r>
              <w:t>B</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28.</w:t>
            </w:r>
          </w:p>
        </w:tc>
        <w:tc>
          <w:tcPr>
            <w:tcW w:w="8787" w:type="dxa"/>
          </w:tcPr>
          <w:p w:rsidR="00152EE8" w:rsidRPr="003A6E1B" w:rsidRDefault="00152EE8" w:rsidP="00152EE8">
            <w:r>
              <w:t>D</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29.</w:t>
            </w:r>
          </w:p>
        </w:tc>
        <w:tc>
          <w:tcPr>
            <w:tcW w:w="8787" w:type="dxa"/>
          </w:tcPr>
          <w:p w:rsidR="00152EE8" w:rsidRPr="003A6E1B" w:rsidRDefault="00152EE8" w:rsidP="00152EE8">
            <w:r>
              <w:t>D</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30.</w:t>
            </w:r>
          </w:p>
        </w:tc>
        <w:tc>
          <w:tcPr>
            <w:tcW w:w="8787" w:type="dxa"/>
          </w:tcPr>
          <w:p w:rsidR="00152EE8" w:rsidRPr="003A6E1B" w:rsidRDefault="00152EE8" w:rsidP="00152EE8">
            <w:r>
              <w:t>B</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31.</w:t>
            </w:r>
          </w:p>
        </w:tc>
        <w:tc>
          <w:tcPr>
            <w:tcW w:w="8787" w:type="dxa"/>
          </w:tcPr>
          <w:p w:rsidR="00152EE8" w:rsidRPr="003A6E1B" w:rsidRDefault="00152EE8" w:rsidP="00152EE8">
            <w:r>
              <w:t>D</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32.</w:t>
            </w:r>
          </w:p>
        </w:tc>
        <w:tc>
          <w:tcPr>
            <w:tcW w:w="8787" w:type="dxa"/>
          </w:tcPr>
          <w:p w:rsidR="00152EE8" w:rsidRPr="0019528C" w:rsidRDefault="00152EE8" w:rsidP="00152EE8">
            <w:r w:rsidRPr="0019528C">
              <w:rPr>
                <w:rFonts w:eastAsia="Calibri"/>
              </w:rPr>
              <w:t>technische Geräte oder Anlagen sind mangelhaft; Bedienungsfehler bei Maschinen; Nichtbeachten von Sicherheitsvorschriften; Alkohol oder Drogen am Arbeitsplatz</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33.</w:t>
            </w:r>
          </w:p>
        </w:tc>
        <w:tc>
          <w:tcPr>
            <w:tcW w:w="8787" w:type="dxa"/>
          </w:tcPr>
          <w:p w:rsidR="00152EE8" w:rsidRPr="0019528C" w:rsidRDefault="00152EE8" w:rsidP="00152EE8">
            <w:r w:rsidRPr="00E01A10">
              <w:rPr>
                <w:rStyle w:val="ekvkursiv"/>
              </w:rPr>
              <w:t>zum eigenen Schutz:</w:t>
            </w:r>
            <w:r w:rsidRPr="0019528C">
              <w:t xml:space="preserve"> Sicherheitsvorschriften beachten, auch wenn sie die Arbeit erschweren. Wenn unterschiedliche Methoden zum Ziel führen, dann die Methode mit dem geringsten Sicherheitsrisiko anwenden. Defekte an verwendeten Werkzeugen, Maschinen u.</w:t>
            </w:r>
            <w:r w:rsidRPr="00152EE8">
              <w:t> </w:t>
            </w:r>
            <w:r w:rsidRPr="0019528C">
              <w:t xml:space="preserve">dgl. den Zuständigen mitteilen. Defekte Geräte nicht weiterverwenden. Keine eigenen Reparaturversuche machen. Kein Alkohol, keine Drogen am Arbeitsplatz. Zum eigenen Schutz darauf achten, dass die anderen Beschäftigten genauso handeln. </w:t>
            </w:r>
          </w:p>
          <w:p w:rsidR="00152EE8" w:rsidRPr="0019528C" w:rsidRDefault="00152EE8" w:rsidP="00152EE8">
            <w:r w:rsidRPr="00E01A10">
              <w:rPr>
                <w:rStyle w:val="ekvkursiv"/>
              </w:rPr>
              <w:t>zum Schutz von Kolleginnen und Kollegen:</w:t>
            </w:r>
            <w:r w:rsidRPr="0019528C">
              <w:rPr>
                <w:rFonts w:eastAsia="Calibri"/>
              </w:rPr>
              <w:t xml:space="preserve"> Grundsätzlich gelten dieselben Punkte. Wer gegen Sicherheitsvorschriften verstößt, gefährdet oft auch andere.</w:t>
            </w:r>
          </w:p>
        </w:tc>
      </w:tr>
      <w:tr w:rsidR="00152EE8" w:rsidRPr="003C39DC" w:rsidTr="00E01A10">
        <w:trPr>
          <w:cantSplit/>
          <w:trHeight w:val="284"/>
        </w:trPr>
        <w:tc>
          <w:tcPr>
            <w:tcW w:w="567" w:type="dxa"/>
            <w:tcMar>
              <w:left w:w="0" w:type="dxa"/>
            </w:tcMar>
          </w:tcPr>
          <w:p w:rsidR="00152EE8" w:rsidRPr="0081749F" w:rsidRDefault="00152EE8" w:rsidP="0081749F">
            <w:pPr>
              <w:rPr>
                <w:rStyle w:val="ekvfett"/>
              </w:rPr>
            </w:pPr>
            <w:r w:rsidRPr="0081749F">
              <w:rPr>
                <w:rStyle w:val="ekvfett"/>
              </w:rPr>
              <w:t>34.</w:t>
            </w:r>
          </w:p>
        </w:tc>
        <w:tc>
          <w:tcPr>
            <w:tcW w:w="8787" w:type="dxa"/>
          </w:tcPr>
          <w:p w:rsidR="00152EE8" w:rsidRPr="00152EE8" w:rsidRDefault="00152EE8" w:rsidP="00152EE8">
            <w:pPr>
              <w:rPr>
                <w:rStyle w:val="ekvkursiv"/>
              </w:rPr>
            </w:pPr>
            <w:r w:rsidRPr="00152EE8">
              <w:rPr>
                <w:rStyle w:val="ekvkursiv"/>
              </w:rPr>
              <w:t>individuelle Lösungen</w:t>
            </w:r>
          </w:p>
          <w:p w:rsidR="00152EE8" w:rsidRPr="00152EE8" w:rsidRDefault="00152EE8" w:rsidP="00152EE8">
            <w:r w:rsidRPr="00152EE8">
              <w:t>mögliche Beispiele: Lasten mit Hilfsmitteln anheben; Lasten rollen und nicht heben, ziehen oder schieben; Lasten mit beiden Händen anheben; Arbeiten über Kopf, im Liegen oder gebückt vermeiden; Sitzposition am Computer wechseln; zwischen verschiedenen Arbeiten abwechseln</w:t>
            </w:r>
          </w:p>
        </w:tc>
      </w:tr>
    </w:tbl>
    <w:p w:rsidR="00166019" w:rsidRDefault="00166019" w:rsidP="004D39BA"/>
    <w:sectPr w:rsidR="00166019" w:rsidSect="00EC1FF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11B" w:rsidRDefault="00E3011B" w:rsidP="003C599D">
      <w:pPr>
        <w:spacing w:line="240" w:lineRule="auto"/>
      </w:pPr>
      <w:r>
        <w:separator/>
      </w:r>
    </w:p>
  </w:endnote>
  <w:endnote w:type="continuationSeparator" w:id="0">
    <w:p w:rsidR="00E3011B" w:rsidRDefault="00E3011B"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3F" w:rsidRDefault="00B11B3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193A18" w:rsidRPr="00F42294" w:rsidTr="00503EE6">
      <w:trPr>
        <w:trHeight w:hRule="exact" w:val="680"/>
      </w:trPr>
      <w:tc>
        <w:tcPr>
          <w:tcW w:w="864" w:type="dxa"/>
          <w:noWrap/>
        </w:tcPr>
        <w:p w:rsidR="00193A18" w:rsidRPr="00913892" w:rsidRDefault="00193A18" w:rsidP="005E4C30">
          <w:pPr>
            <w:pStyle w:val="ekvpaginabild"/>
            <w:jc w:val="both"/>
          </w:pPr>
          <w:r w:rsidRPr="00913892">
            <w:rPr>
              <w:lang w:eastAsia="de-DE"/>
            </w:rPr>
            <w:drawing>
              <wp:inline distT="0" distB="0" distL="0" distR="0" wp14:anchorId="395D4B88" wp14:editId="4B276E7B">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193A18" w:rsidRPr="00913892" w:rsidRDefault="00193A18" w:rsidP="00503EE6">
          <w:pPr>
            <w:pStyle w:val="ekvpagina"/>
          </w:pPr>
          <w:r w:rsidRPr="00913892">
            <w:t>© Ernst Klett Verlag GmbH, Stuttgart 201</w:t>
          </w:r>
          <w:r w:rsidR="00554EDA">
            <w:t>7</w:t>
          </w:r>
          <w:r w:rsidRPr="00913892">
            <w:t xml:space="preserve"> | www.klett.de | Alle Rechte vorbehalten. Von dieser Druckvorlage ist die Vervielfältigung für den</w:t>
          </w:r>
          <w:r w:rsidR="00503EE6">
            <w:t xml:space="preserve"> </w:t>
          </w:r>
          <w:r w:rsidRPr="00913892">
            <w:t>eigenen</w:t>
          </w:r>
          <w:r w:rsidR="00503EE6">
            <w:t xml:space="preserve"> </w:t>
          </w:r>
          <w:r w:rsidRPr="00913892">
            <w:t>Unterrichtsgebrauch gestattet. Die Kopiergebühren sind abgegolten.</w:t>
          </w:r>
        </w:p>
      </w:tc>
      <w:tc>
        <w:tcPr>
          <w:tcW w:w="5753" w:type="dxa"/>
          <w:noWrap/>
        </w:tcPr>
        <w:p w:rsidR="00876B9F" w:rsidRDefault="00876B9F" w:rsidP="00876B9F">
          <w:pPr>
            <w:pStyle w:val="ekvquelle"/>
          </w:pPr>
          <w:r w:rsidRPr="005310B9">
            <w:rPr>
              <w:rStyle w:val="ekvfett"/>
            </w:rPr>
            <w:t>Material aus:</w:t>
          </w:r>
          <w:r>
            <w:t xml:space="preserve"> Wirtschaft </w:t>
          </w:r>
          <w:r w:rsidR="00B11B3F">
            <w:t>k</w:t>
          </w:r>
          <w:r>
            <w:t xml:space="preserve">ompetent </w:t>
          </w:r>
        </w:p>
        <w:p w:rsidR="00876B9F" w:rsidRDefault="00876B9F" w:rsidP="00876B9F">
          <w:pPr>
            <w:pStyle w:val="ekvquelle"/>
          </w:pPr>
          <w:r w:rsidRPr="005310B9">
            <w:rPr>
              <w:rStyle w:val="ekvfett"/>
            </w:rPr>
            <w:t>ISBN:</w:t>
          </w:r>
          <w:r>
            <w:t xml:space="preserve"> 978-3-12-883525-9</w:t>
          </w:r>
        </w:p>
        <w:p w:rsidR="00193A18" w:rsidRPr="00913892" w:rsidRDefault="005310B9" w:rsidP="004136AD">
          <w:pPr>
            <w:pStyle w:val="ekvquelle"/>
          </w:pPr>
          <w:r>
            <w:rPr>
              <w:b/>
            </w:rPr>
            <w:t>Autoren</w:t>
          </w:r>
          <w:r>
            <w:t>: Peter Nabholz, Wilhelm Overkamp</w:t>
          </w:r>
        </w:p>
      </w:tc>
      <w:tc>
        <w:tcPr>
          <w:tcW w:w="813" w:type="dxa"/>
        </w:tcPr>
        <w:p w:rsidR="00193A18" w:rsidRPr="00913892" w:rsidRDefault="00193A18" w:rsidP="00913892">
          <w:pPr>
            <w:pStyle w:val="ekvpagina"/>
          </w:pPr>
        </w:p>
      </w:tc>
    </w:tr>
  </w:tbl>
  <w:p w:rsidR="00193A18" w:rsidRDefault="00193A1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3F" w:rsidRDefault="00B11B3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11B" w:rsidRDefault="00E3011B" w:rsidP="003C599D">
      <w:pPr>
        <w:spacing w:line="240" w:lineRule="auto"/>
      </w:pPr>
      <w:r>
        <w:separator/>
      </w:r>
    </w:p>
  </w:footnote>
  <w:footnote w:type="continuationSeparator" w:id="0">
    <w:p w:rsidR="00E3011B" w:rsidRDefault="00E3011B"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3F" w:rsidRDefault="00B11B3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7218"/>
      <w:gridCol w:w="2081"/>
      <w:gridCol w:w="883"/>
    </w:tblGrid>
    <w:tr w:rsidR="00D81D21" w:rsidRPr="00C172AE" w:rsidTr="00595BEE">
      <w:trPr>
        <w:trHeight w:hRule="exact" w:val="510"/>
      </w:trPr>
      <w:tc>
        <w:tcPr>
          <w:tcW w:w="818" w:type="dxa"/>
          <w:tcBorders>
            <w:top w:val="nil"/>
            <w:bottom w:val="nil"/>
            <w:right w:val="nil"/>
          </w:tcBorders>
          <w:noWrap/>
          <w:vAlign w:val="bottom"/>
        </w:tcPr>
        <w:p w:rsidR="00D81D21" w:rsidRPr="00AE65F6" w:rsidRDefault="00D81D21" w:rsidP="00595BEE">
          <w:pPr>
            <w:pageBreakBefore/>
            <w:rPr>
              <w:color w:val="FFFFFF" w:themeColor="background1"/>
            </w:rPr>
          </w:pPr>
        </w:p>
      </w:tc>
      <w:tc>
        <w:tcPr>
          <w:tcW w:w="7218" w:type="dxa"/>
          <w:tcBorders>
            <w:top w:val="nil"/>
            <w:left w:val="nil"/>
            <w:bottom w:val="nil"/>
            <w:right w:val="nil"/>
          </w:tcBorders>
          <w:noWrap/>
          <w:vAlign w:val="bottom"/>
        </w:tcPr>
        <w:p w:rsidR="00D81D21" w:rsidRPr="007C1230" w:rsidRDefault="00D81D21" w:rsidP="00595BEE">
          <w:pPr>
            <w:pStyle w:val="ekvkvnummer"/>
          </w:pPr>
          <w:r w:rsidRPr="00E3011B">
            <w:t>Mitarbeiter am Arbeitsplatz</w:t>
          </w:r>
        </w:p>
      </w:tc>
      <w:tc>
        <w:tcPr>
          <w:tcW w:w="2081" w:type="dxa"/>
          <w:tcBorders>
            <w:top w:val="nil"/>
            <w:left w:val="nil"/>
            <w:bottom w:val="nil"/>
            <w:right w:val="nil"/>
          </w:tcBorders>
          <w:noWrap/>
          <w:vAlign w:val="bottom"/>
        </w:tcPr>
        <w:p w:rsidR="00D81D21" w:rsidRPr="007C1230" w:rsidRDefault="00D81D21" w:rsidP="00595BEE">
          <w:pPr>
            <w:pStyle w:val="ekvkvnummer"/>
          </w:pPr>
          <w:r>
            <w:t>Lösungen</w:t>
          </w:r>
        </w:p>
      </w:tc>
      <w:tc>
        <w:tcPr>
          <w:tcW w:w="883" w:type="dxa"/>
          <w:tcBorders>
            <w:top w:val="nil"/>
            <w:left w:val="nil"/>
            <w:bottom w:val="nil"/>
          </w:tcBorders>
          <w:noWrap/>
          <w:vAlign w:val="bottom"/>
        </w:tcPr>
        <w:p w:rsidR="00D81D21" w:rsidRPr="007636A0" w:rsidRDefault="00D81D21" w:rsidP="00595BEE">
          <w:pPr>
            <w:pStyle w:val="ekvkapitel"/>
            <w:rPr>
              <w:color w:val="FFFFFF" w:themeColor="background1"/>
            </w:rPr>
          </w:pPr>
          <w:r>
            <w:t>1</w:t>
          </w:r>
        </w:p>
      </w:tc>
    </w:tr>
    <w:tr w:rsidR="00D81D21" w:rsidRPr="00BF17F2" w:rsidTr="00595BEE">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D81D21" w:rsidRPr="00BF17F2" w:rsidRDefault="00D81D21" w:rsidP="00595BEE">
          <w:pPr>
            <w:rPr>
              <w:color w:val="FFFFFF" w:themeColor="background1"/>
            </w:rPr>
          </w:pPr>
        </w:p>
      </w:tc>
      <w:tc>
        <w:tcPr>
          <w:tcW w:w="10182" w:type="dxa"/>
          <w:gridSpan w:val="3"/>
          <w:tcBorders>
            <w:left w:val="nil"/>
            <w:bottom w:val="nil"/>
          </w:tcBorders>
          <w:noWrap/>
          <w:vAlign w:val="bottom"/>
        </w:tcPr>
        <w:p w:rsidR="00D81D21" w:rsidRPr="00BF17F2" w:rsidRDefault="00D81D21" w:rsidP="00595BEE">
          <w:pPr>
            <w:rPr>
              <w:color w:val="FFFFFF" w:themeColor="background1"/>
            </w:rPr>
          </w:pPr>
        </w:p>
      </w:tc>
    </w:tr>
  </w:tbl>
  <w:p w:rsidR="00EA5FDA" w:rsidRDefault="00EA5FD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3F" w:rsidRDefault="00B11B3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11B"/>
    <w:rsid w:val="000040E2"/>
    <w:rsid w:val="0001210D"/>
    <w:rsid w:val="00014D7E"/>
    <w:rsid w:val="0002009E"/>
    <w:rsid w:val="00020440"/>
    <w:rsid w:val="000307B4"/>
    <w:rsid w:val="00035074"/>
    <w:rsid w:val="00037566"/>
    <w:rsid w:val="00043523"/>
    <w:rsid w:val="000520A2"/>
    <w:rsid w:val="000523D4"/>
    <w:rsid w:val="00053B2F"/>
    <w:rsid w:val="00054678"/>
    <w:rsid w:val="00054A93"/>
    <w:rsid w:val="0006258C"/>
    <w:rsid w:val="00062D31"/>
    <w:rsid w:val="000779C3"/>
    <w:rsid w:val="000812E6"/>
    <w:rsid w:val="00090AB2"/>
    <w:rsid w:val="000928AA"/>
    <w:rsid w:val="00092E87"/>
    <w:rsid w:val="000939F5"/>
    <w:rsid w:val="00094F01"/>
    <w:rsid w:val="000A4BD4"/>
    <w:rsid w:val="000A51A5"/>
    <w:rsid w:val="000A7892"/>
    <w:rsid w:val="000B098D"/>
    <w:rsid w:val="000B7BD3"/>
    <w:rsid w:val="000C11E0"/>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765"/>
    <w:rsid w:val="001524C9"/>
    <w:rsid w:val="00152EE8"/>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3792"/>
    <w:rsid w:val="001C499E"/>
    <w:rsid w:val="001C6C8F"/>
    <w:rsid w:val="001D1169"/>
    <w:rsid w:val="001D2674"/>
    <w:rsid w:val="001D39FD"/>
    <w:rsid w:val="001D7E89"/>
    <w:rsid w:val="001E485B"/>
    <w:rsid w:val="001F1E3D"/>
    <w:rsid w:val="001F53F1"/>
    <w:rsid w:val="0020055A"/>
    <w:rsid w:val="00201AA1"/>
    <w:rsid w:val="00205239"/>
    <w:rsid w:val="00214764"/>
    <w:rsid w:val="00216D91"/>
    <w:rsid w:val="002240EA"/>
    <w:rsid w:val="002266E8"/>
    <w:rsid w:val="002277D2"/>
    <w:rsid w:val="002301FF"/>
    <w:rsid w:val="00232213"/>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5D15"/>
    <w:rsid w:val="002D41F4"/>
    <w:rsid w:val="002D7B0C"/>
    <w:rsid w:val="002D7B42"/>
    <w:rsid w:val="002E163A"/>
    <w:rsid w:val="002E21C3"/>
    <w:rsid w:val="002F1328"/>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39DC"/>
    <w:rsid w:val="003C599D"/>
    <w:rsid w:val="003D3D68"/>
    <w:rsid w:val="003D70F5"/>
    <w:rsid w:val="003E21AC"/>
    <w:rsid w:val="003E6330"/>
    <w:rsid w:val="003E7B62"/>
    <w:rsid w:val="003F0467"/>
    <w:rsid w:val="003F362F"/>
    <w:rsid w:val="00405D0B"/>
    <w:rsid w:val="00411B18"/>
    <w:rsid w:val="004136AD"/>
    <w:rsid w:val="00415565"/>
    <w:rsid w:val="00415632"/>
    <w:rsid w:val="0042107E"/>
    <w:rsid w:val="004236D5"/>
    <w:rsid w:val="00424375"/>
    <w:rsid w:val="004372DD"/>
    <w:rsid w:val="00441088"/>
    <w:rsid w:val="00441724"/>
    <w:rsid w:val="0044185E"/>
    <w:rsid w:val="00446431"/>
    <w:rsid w:val="00454148"/>
    <w:rsid w:val="004621B3"/>
    <w:rsid w:val="0046364F"/>
    <w:rsid w:val="00465073"/>
    <w:rsid w:val="0047471A"/>
    <w:rsid w:val="00475402"/>
    <w:rsid w:val="00483A7A"/>
    <w:rsid w:val="00483D65"/>
    <w:rsid w:val="00486B3D"/>
    <w:rsid w:val="00490692"/>
    <w:rsid w:val="004925F2"/>
    <w:rsid w:val="004A66C3"/>
    <w:rsid w:val="004A66CF"/>
    <w:rsid w:val="004B17DA"/>
    <w:rsid w:val="004D39BA"/>
    <w:rsid w:val="004E3969"/>
    <w:rsid w:val="00501528"/>
    <w:rsid w:val="00503EE6"/>
    <w:rsid w:val="005069C1"/>
    <w:rsid w:val="00510F4C"/>
    <w:rsid w:val="00514229"/>
    <w:rsid w:val="005156EC"/>
    <w:rsid w:val="005168A4"/>
    <w:rsid w:val="0052117E"/>
    <w:rsid w:val="00521B91"/>
    <w:rsid w:val="005252D2"/>
    <w:rsid w:val="00530C92"/>
    <w:rsid w:val="005310B9"/>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0B3F"/>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4692C"/>
    <w:rsid w:val="00653F68"/>
    <w:rsid w:val="006802C4"/>
    <w:rsid w:val="0068429A"/>
    <w:rsid w:val="00685FDD"/>
    <w:rsid w:val="006912DC"/>
    <w:rsid w:val="00693676"/>
    <w:rsid w:val="006A5611"/>
    <w:rsid w:val="006A71DE"/>
    <w:rsid w:val="006A76D7"/>
    <w:rsid w:val="006B2D23"/>
    <w:rsid w:val="006B3EF4"/>
    <w:rsid w:val="006B6247"/>
    <w:rsid w:val="006C4E52"/>
    <w:rsid w:val="006C6A77"/>
    <w:rsid w:val="006D1F6D"/>
    <w:rsid w:val="006D45BB"/>
    <w:rsid w:val="006D49F0"/>
    <w:rsid w:val="006D7F2E"/>
    <w:rsid w:val="006E235E"/>
    <w:rsid w:val="006E6A74"/>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9B6"/>
    <w:rsid w:val="007636A0"/>
    <w:rsid w:val="007661BA"/>
    <w:rsid w:val="00766405"/>
    <w:rsid w:val="0076691A"/>
    <w:rsid w:val="00772DA9"/>
    <w:rsid w:val="00775322"/>
    <w:rsid w:val="007814C9"/>
    <w:rsid w:val="00787700"/>
    <w:rsid w:val="00794685"/>
    <w:rsid w:val="007A18E0"/>
    <w:rsid w:val="007A2F5A"/>
    <w:rsid w:val="007A5AA1"/>
    <w:rsid w:val="007C1230"/>
    <w:rsid w:val="007D186F"/>
    <w:rsid w:val="007E4DDC"/>
    <w:rsid w:val="007E5E71"/>
    <w:rsid w:val="007E67B3"/>
    <w:rsid w:val="00801B7F"/>
    <w:rsid w:val="00802E02"/>
    <w:rsid w:val="00815A76"/>
    <w:rsid w:val="00816953"/>
    <w:rsid w:val="00816D4D"/>
    <w:rsid w:val="0081749F"/>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76B9F"/>
    <w:rsid w:val="00882053"/>
    <w:rsid w:val="008942A2"/>
    <w:rsid w:val="0089534A"/>
    <w:rsid w:val="008A529C"/>
    <w:rsid w:val="008B446A"/>
    <w:rsid w:val="008B5E47"/>
    <w:rsid w:val="008C0880"/>
    <w:rsid w:val="008C27FD"/>
    <w:rsid w:val="008D3CE0"/>
    <w:rsid w:val="008D7FDC"/>
    <w:rsid w:val="008E4B7A"/>
    <w:rsid w:val="008E6248"/>
    <w:rsid w:val="008F6EDE"/>
    <w:rsid w:val="00902002"/>
    <w:rsid w:val="00902CEB"/>
    <w:rsid w:val="009064C0"/>
    <w:rsid w:val="009078CB"/>
    <w:rsid w:val="00907EC2"/>
    <w:rsid w:val="00912A0A"/>
    <w:rsid w:val="00913598"/>
    <w:rsid w:val="00913892"/>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65F6"/>
    <w:rsid w:val="00AF053E"/>
    <w:rsid w:val="00B00587"/>
    <w:rsid w:val="00B039E8"/>
    <w:rsid w:val="00B11B3F"/>
    <w:rsid w:val="00B14B45"/>
    <w:rsid w:val="00B155E8"/>
    <w:rsid w:val="00B15F75"/>
    <w:rsid w:val="00B2194E"/>
    <w:rsid w:val="00B31F29"/>
    <w:rsid w:val="00B32DAF"/>
    <w:rsid w:val="00B3499A"/>
    <w:rsid w:val="00B37E68"/>
    <w:rsid w:val="00B468CC"/>
    <w:rsid w:val="00B52FB3"/>
    <w:rsid w:val="00B54655"/>
    <w:rsid w:val="00B6045F"/>
    <w:rsid w:val="00B60BEA"/>
    <w:rsid w:val="00B7242A"/>
    <w:rsid w:val="00B8071F"/>
    <w:rsid w:val="00B82B4E"/>
    <w:rsid w:val="00B8420E"/>
    <w:rsid w:val="00B90CE1"/>
    <w:rsid w:val="00BA1A23"/>
    <w:rsid w:val="00BA213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4DC1"/>
    <w:rsid w:val="00D403F7"/>
    <w:rsid w:val="00D559DE"/>
    <w:rsid w:val="00D56FEB"/>
    <w:rsid w:val="00D61DD0"/>
    <w:rsid w:val="00D62096"/>
    <w:rsid w:val="00D627E5"/>
    <w:rsid w:val="00D649B5"/>
    <w:rsid w:val="00D66E63"/>
    <w:rsid w:val="00D66F5F"/>
    <w:rsid w:val="00D71365"/>
    <w:rsid w:val="00D74E3E"/>
    <w:rsid w:val="00D77D4C"/>
    <w:rsid w:val="00D81D21"/>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E287B"/>
    <w:rsid w:val="00DE603B"/>
    <w:rsid w:val="00DF129D"/>
    <w:rsid w:val="00DF4371"/>
    <w:rsid w:val="00DF625F"/>
    <w:rsid w:val="00DF74DB"/>
    <w:rsid w:val="00E01841"/>
    <w:rsid w:val="00E01A10"/>
    <w:rsid w:val="00E045FD"/>
    <w:rsid w:val="00E05976"/>
    <w:rsid w:val="00E126C1"/>
    <w:rsid w:val="00E21473"/>
    <w:rsid w:val="00E22935"/>
    <w:rsid w:val="00E22C67"/>
    <w:rsid w:val="00E2466B"/>
    <w:rsid w:val="00E3011B"/>
    <w:rsid w:val="00E3023E"/>
    <w:rsid w:val="00E34F46"/>
    <w:rsid w:val="00E375D2"/>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5FDA"/>
    <w:rsid w:val="00EA7542"/>
    <w:rsid w:val="00EB2280"/>
    <w:rsid w:val="00EC1621"/>
    <w:rsid w:val="00EC1FF0"/>
    <w:rsid w:val="00EC662E"/>
    <w:rsid w:val="00ED07FE"/>
    <w:rsid w:val="00EE049D"/>
    <w:rsid w:val="00EE2721"/>
    <w:rsid w:val="00EE2A0B"/>
    <w:rsid w:val="00EF6029"/>
    <w:rsid w:val="00F16DA0"/>
    <w:rsid w:val="00F23554"/>
    <w:rsid w:val="00F241DA"/>
    <w:rsid w:val="00F24740"/>
    <w:rsid w:val="00F30571"/>
    <w:rsid w:val="00F32ED5"/>
    <w:rsid w:val="00F335CB"/>
    <w:rsid w:val="00F35DB1"/>
    <w:rsid w:val="00F3651F"/>
    <w:rsid w:val="00F36D0F"/>
    <w:rsid w:val="00F4144F"/>
    <w:rsid w:val="00F42294"/>
    <w:rsid w:val="00F42F7B"/>
    <w:rsid w:val="00F459EB"/>
    <w:rsid w:val="00F52C9C"/>
    <w:rsid w:val="00F55BE1"/>
    <w:rsid w:val="00F6336A"/>
    <w:rsid w:val="00F72065"/>
    <w:rsid w:val="00F778DC"/>
    <w:rsid w:val="00F849BE"/>
    <w:rsid w:val="00F94A4B"/>
    <w:rsid w:val="00F97AD4"/>
    <w:rsid w:val="00FB0917"/>
    <w:rsid w:val="00FB0F16"/>
    <w:rsid w:val="00FB1D7F"/>
    <w:rsid w:val="00FB59FB"/>
    <w:rsid w:val="00FB72A0"/>
    <w:rsid w:val="00FC35C5"/>
    <w:rsid w:val="00FC7DBF"/>
    <w:rsid w:val="00FD66FB"/>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FD66FB"/>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FD66FB"/>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0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tenberger\AppData\Roaming\Microsoft\Templates\WD_KV_KL5_SSS.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WD_KV_KL5_SSS.dotm</Template>
  <TotalTime>0</TotalTime>
  <Pages>2</Pages>
  <Words>524</Words>
  <Characters>3306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KLETT</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EKV</dc:creator>
  <cp:lastModifiedBy>Julia Leitenberger</cp:lastModifiedBy>
  <cp:revision>8</cp:revision>
  <cp:lastPrinted>2016-12-23T16:36:00Z</cp:lastPrinted>
  <dcterms:created xsi:type="dcterms:W3CDTF">2017-08-09T09:14:00Z</dcterms:created>
  <dcterms:modified xsi:type="dcterms:W3CDTF">2017-08-10T09:55:00Z</dcterms:modified>
</cp:coreProperties>
</file>