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D24752" w:rsidP="007C1230">
            <w:pPr>
              <w:pStyle w:val="ekvkvnummer"/>
            </w:pPr>
            <w:r>
              <w:t>Lösungen</w:t>
            </w:r>
            <w:bookmarkStart w:id="0" w:name="_GoBack"/>
            <w:bookmarkEnd w:id="0"/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EA0C69" w:rsidP="009078CB">
            <w:pPr>
              <w:pStyle w:val="ekvkapitel"/>
              <w:rPr>
                <w:color w:val="FFFFFF" w:themeColor="background1"/>
              </w:rPr>
            </w:pPr>
            <w:r>
              <w:t>2</w:t>
            </w:r>
          </w:p>
        </w:tc>
      </w:tr>
      <w:tr w:rsidR="00583FC8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EA0C69" w:rsidRDefault="00EA0C69" w:rsidP="00EA0C69">
      <w:pPr>
        <w:pStyle w:val="ekvue1arial"/>
      </w:pPr>
      <w:bookmarkStart w:id="1" w:name="bmStart"/>
      <w:bookmarkEnd w:id="1"/>
      <w:r w:rsidRPr="00F94B7A">
        <w:t>Prüfungsaufgaben</w:t>
      </w:r>
    </w:p>
    <w:p w:rsidR="00EA0C69" w:rsidRPr="00C2170D" w:rsidRDefault="00EA0C69" w:rsidP="00EA0C69">
      <w:pPr>
        <w:pStyle w:val="ekvue2arial"/>
      </w:pPr>
      <w:r w:rsidRPr="006F464E">
        <w:t>Beschaffung und Leistungserstellung</w:t>
      </w:r>
    </w:p>
    <w:p w:rsidR="00EA0C69" w:rsidRDefault="00EA0C69" w:rsidP="00EA0C69"/>
    <w:tbl>
      <w:tblPr>
        <w:tblW w:w="935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505"/>
      </w:tblGrid>
      <w:tr w:rsidR="00EA0C69" w:rsidRPr="006F464E" w:rsidTr="00F521AE"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hideMark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 xml:space="preserve">Nr. </w:t>
            </w:r>
          </w:p>
        </w:tc>
        <w:tc>
          <w:tcPr>
            <w:tcW w:w="85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left w:w="113" w:type="dxa"/>
            </w:tcMar>
            <w:hideMark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Lösung</w:t>
            </w:r>
          </w:p>
        </w:tc>
      </w:tr>
      <w:tr w:rsidR="00EA0C69" w:rsidRPr="006F464E" w:rsidTr="00F521AE">
        <w:tc>
          <w:tcPr>
            <w:tcW w:w="851" w:type="dxa"/>
            <w:tcBorders>
              <w:top w:val="single" w:sz="6" w:space="0" w:color="000000"/>
            </w:tcBorders>
            <w:shd w:val="clear" w:color="auto" w:fill="auto"/>
            <w:hideMark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1.</w:t>
            </w:r>
          </w:p>
        </w:tc>
        <w:tc>
          <w:tcPr>
            <w:tcW w:w="8505" w:type="dxa"/>
            <w:tcBorders>
              <w:top w:val="single" w:sz="6" w:space="0" w:color="000000"/>
            </w:tcBorders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 w:rsidRPr="006F464E">
              <w:t>D</w:t>
            </w:r>
          </w:p>
        </w:tc>
      </w:tr>
      <w:tr w:rsidR="00EA0C69" w:rsidRPr="006F464E" w:rsidTr="00F521AE">
        <w:tc>
          <w:tcPr>
            <w:tcW w:w="851" w:type="dxa"/>
            <w:shd w:val="clear" w:color="auto" w:fill="auto"/>
            <w:hideMark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2.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>
              <w:t>B</w:t>
            </w:r>
          </w:p>
        </w:tc>
      </w:tr>
      <w:tr w:rsidR="00EA0C69" w:rsidRPr="006F464E" w:rsidTr="00F521AE">
        <w:tc>
          <w:tcPr>
            <w:tcW w:w="851" w:type="dxa"/>
            <w:shd w:val="clear" w:color="auto" w:fill="auto"/>
            <w:hideMark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3.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>
              <w:t>D</w:t>
            </w:r>
          </w:p>
        </w:tc>
      </w:tr>
      <w:tr w:rsidR="00EA0C69" w:rsidRPr="006F464E" w:rsidTr="00F521AE">
        <w:tc>
          <w:tcPr>
            <w:tcW w:w="851" w:type="dxa"/>
            <w:shd w:val="clear" w:color="auto" w:fill="auto"/>
            <w:hideMark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4.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 w:rsidRPr="006F464E">
              <w:t>D</w:t>
            </w:r>
          </w:p>
        </w:tc>
      </w:tr>
      <w:tr w:rsidR="00EA0C69" w:rsidRPr="006F464E" w:rsidTr="00F521AE">
        <w:tc>
          <w:tcPr>
            <w:tcW w:w="851" w:type="dxa"/>
            <w:shd w:val="clear" w:color="auto" w:fill="auto"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5.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>
              <w:t>B</w:t>
            </w:r>
          </w:p>
        </w:tc>
      </w:tr>
      <w:tr w:rsidR="00EA0C69" w:rsidRPr="006F464E" w:rsidTr="00F521AE">
        <w:tc>
          <w:tcPr>
            <w:tcW w:w="851" w:type="dxa"/>
            <w:shd w:val="clear" w:color="auto" w:fill="auto"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 xml:space="preserve">6. 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 w:rsidRPr="006F464E">
              <w:t>B</w:t>
            </w:r>
          </w:p>
        </w:tc>
      </w:tr>
      <w:tr w:rsidR="00EA0C69" w:rsidRPr="006F464E" w:rsidTr="00F521AE">
        <w:tc>
          <w:tcPr>
            <w:tcW w:w="851" w:type="dxa"/>
            <w:shd w:val="clear" w:color="auto" w:fill="auto"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7.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 w:rsidRPr="006F464E">
              <w:t>A</w:t>
            </w:r>
          </w:p>
        </w:tc>
      </w:tr>
      <w:tr w:rsidR="00EA0C69" w:rsidRPr="006F464E" w:rsidTr="00F521AE">
        <w:tc>
          <w:tcPr>
            <w:tcW w:w="851" w:type="dxa"/>
            <w:shd w:val="clear" w:color="auto" w:fill="auto"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8.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>
              <w:t>C</w:t>
            </w:r>
          </w:p>
        </w:tc>
      </w:tr>
      <w:tr w:rsidR="00EA0C69" w:rsidRPr="006F464E" w:rsidTr="00F521AE">
        <w:tc>
          <w:tcPr>
            <w:tcW w:w="851" w:type="dxa"/>
            <w:shd w:val="clear" w:color="auto" w:fill="auto"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9.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>
              <w:t>E</w:t>
            </w:r>
          </w:p>
        </w:tc>
      </w:tr>
      <w:tr w:rsidR="00EA0C69" w:rsidRPr="006F464E" w:rsidTr="00F521AE">
        <w:tc>
          <w:tcPr>
            <w:tcW w:w="851" w:type="dxa"/>
            <w:shd w:val="clear" w:color="auto" w:fill="auto"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10.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 w:rsidRPr="006F464E">
              <w:t>E</w:t>
            </w:r>
          </w:p>
        </w:tc>
      </w:tr>
      <w:tr w:rsidR="00EA0C69" w:rsidRPr="006F464E" w:rsidTr="00F521AE">
        <w:tc>
          <w:tcPr>
            <w:tcW w:w="851" w:type="dxa"/>
            <w:shd w:val="clear" w:color="auto" w:fill="auto"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11.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 w:rsidRPr="006F464E">
              <w:t>B</w:t>
            </w:r>
          </w:p>
        </w:tc>
      </w:tr>
      <w:tr w:rsidR="00EA0C69" w:rsidRPr="006F464E" w:rsidTr="00F521AE">
        <w:tc>
          <w:tcPr>
            <w:tcW w:w="851" w:type="dxa"/>
            <w:shd w:val="clear" w:color="auto" w:fill="auto"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12.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 w:rsidRPr="006F464E">
              <w:t>Umschlagshäufigkeit: D</w:t>
            </w:r>
          </w:p>
          <w:p w:rsidR="00EA0C69" w:rsidRPr="006F464E" w:rsidRDefault="00EA0C69" w:rsidP="00F521AE">
            <w:pPr>
              <w:pStyle w:val="ekvtabelle"/>
            </w:pPr>
            <w:r w:rsidRPr="006F464E">
              <w:t>Durchschnittlicher Lagerbestand</w:t>
            </w:r>
            <w:r>
              <w:t xml:space="preserve"> </w:t>
            </w:r>
            <w:r w:rsidRPr="006F464E">
              <w:t>bei gleichmäßigem Verbrauch: C</w:t>
            </w:r>
          </w:p>
          <w:p w:rsidR="00EA0C69" w:rsidRPr="006F464E" w:rsidRDefault="00EA0C69" w:rsidP="00F521AE">
            <w:pPr>
              <w:pStyle w:val="ekvtabelle"/>
            </w:pPr>
            <w:r w:rsidRPr="006F464E">
              <w:t>Durchschnittlicher Lagerbestand bei ungleichmäßigem Verbrauch: A</w:t>
            </w:r>
          </w:p>
          <w:p w:rsidR="00EA0C69" w:rsidRPr="006F464E" w:rsidRDefault="00EA0C69" w:rsidP="00F521AE">
            <w:pPr>
              <w:pStyle w:val="ekvtabelle"/>
            </w:pPr>
            <w:r w:rsidRPr="006F464E">
              <w:t>Durchschnittliche Lagerdauer: B</w:t>
            </w:r>
          </w:p>
        </w:tc>
      </w:tr>
      <w:tr w:rsidR="00EA0C69" w:rsidRPr="006F464E" w:rsidTr="00F521AE">
        <w:tc>
          <w:tcPr>
            <w:tcW w:w="851" w:type="dxa"/>
            <w:shd w:val="clear" w:color="auto" w:fill="auto"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13.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>
              <w:t>E</w:t>
            </w:r>
          </w:p>
        </w:tc>
      </w:tr>
      <w:tr w:rsidR="00EA0C69" w:rsidRPr="006F464E" w:rsidTr="00F521AE">
        <w:tc>
          <w:tcPr>
            <w:tcW w:w="851" w:type="dxa"/>
            <w:shd w:val="clear" w:color="auto" w:fill="auto"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14.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>
              <w:t>C</w:t>
            </w:r>
          </w:p>
        </w:tc>
      </w:tr>
      <w:tr w:rsidR="00EA0C69" w:rsidRPr="006F464E" w:rsidTr="00F521AE">
        <w:tc>
          <w:tcPr>
            <w:tcW w:w="851" w:type="dxa"/>
            <w:shd w:val="clear" w:color="auto" w:fill="auto"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15.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>
              <w:t>D</w:t>
            </w:r>
          </w:p>
        </w:tc>
      </w:tr>
      <w:tr w:rsidR="00EA0C69" w:rsidRPr="006F464E" w:rsidTr="00F521AE">
        <w:tc>
          <w:tcPr>
            <w:tcW w:w="851" w:type="dxa"/>
            <w:shd w:val="clear" w:color="auto" w:fill="auto"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16.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>
              <w:t>C</w:t>
            </w:r>
          </w:p>
        </w:tc>
      </w:tr>
      <w:tr w:rsidR="00EA0C69" w:rsidRPr="006F464E" w:rsidTr="00F521AE">
        <w:tc>
          <w:tcPr>
            <w:tcW w:w="851" w:type="dxa"/>
            <w:shd w:val="clear" w:color="auto" w:fill="auto"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17.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 w:rsidRPr="006F464E">
              <w:t xml:space="preserve">C – D – E – B – A  </w:t>
            </w:r>
          </w:p>
        </w:tc>
      </w:tr>
      <w:tr w:rsidR="00EA0C69" w:rsidRPr="006F464E" w:rsidTr="00F521AE">
        <w:tc>
          <w:tcPr>
            <w:tcW w:w="851" w:type="dxa"/>
            <w:shd w:val="clear" w:color="auto" w:fill="auto"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18.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>
              <w:t>A</w:t>
            </w:r>
          </w:p>
        </w:tc>
      </w:tr>
      <w:tr w:rsidR="00EA0C69" w:rsidRPr="006F464E" w:rsidTr="00F521AE">
        <w:tc>
          <w:tcPr>
            <w:tcW w:w="851" w:type="dxa"/>
            <w:shd w:val="clear" w:color="auto" w:fill="auto"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19.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 w:rsidRPr="006F464E">
              <w:t xml:space="preserve">C </w:t>
            </w:r>
          </w:p>
        </w:tc>
      </w:tr>
      <w:tr w:rsidR="00EA0C69" w:rsidRPr="006F464E" w:rsidTr="00F521AE">
        <w:tc>
          <w:tcPr>
            <w:tcW w:w="851" w:type="dxa"/>
            <w:shd w:val="clear" w:color="auto" w:fill="auto"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20.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>
              <w:t>C</w:t>
            </w:r>
          </w:p>
        </w:tc>
      </w:tr>
      <w:tr w:rsidR="00EA0C69" w:rsidRPr="006F464E" w:rsidTr="00F521AE">
        <w:tc>
          <w:tcPr>
            <w:tcW w:w="851" w:type="dxa"/>
            <w:shd w:val="clear" w:color="auto" w:fill="auto"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21.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>
              <w:t>D</w:t>
            </w:r>
          </w:p>
        </w:tc>
      </w:tr>
      <w:tr w:rsidR="00EA0C69" w:rsidRPr="006F464E" w:rsidTr="00F521AE">
        <w:tc>
          <w:tcPr>
            <w:tcW w:w="851" w:type="dxa"/>
            <w:shd w:val="clear" w:color="auto" w:fill="auto"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22.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>
              <w:t>C</w:t>
            </w:r>
          </w:p>
        </w:tc>
      </w:tr>
      <w:tr w:rsidR="00EA0C69" w:rsidRPr="006F464E" w:rsidTr="00F521AE">
        <w:tc>
          <w:tcPr>
            <w:tcW w:w="851" w:type="dxa"/>
            <w:shd w:val="clear" w:color="auto" w:fill="auto"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23.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 w:rsidRPr="006F464E">
              <w:t>D</w:t>
            </w:r>
          </w:p>
        </w:tc>
      </w:tr>
      <w:tr w:rsidR="00EA0C69" w:rsidRPr="006F464E" w:rsidTr="00F521AE">
        <w:tc>
          <w:tcPr>
            <w:tcW w:w="851" w:type="dxa"/>
            <w:shd w:val="clear" w:color="auto" w:fill="auto"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24.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 w:rsidRPr="006F464E">
              <w:t>C</w:t>
            </w:r>
          </w:p>
        </w:tc>
      </w:tr>
      <w:tr w:rsidR="00EA0C69" w:rsidRPr="006F464E" w:rsidTr="00F521AE">
        <w:tc>
          <w:tcPr>
            <w:tcW w:w="851" w:type="dxa"/>
            <w:shd w:val="clear" w:color="auto" w:fill="auto"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25.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A0C69" w:rsidRDefault="00EA0C69" w:rsidP="00F521AE">
            <w:pPr>
              <w:pStyle w:val="ekvtabelle"/>
            </w:pPr>
            <w:r>
              <w:t xml:space="preserve">Nichtigkeit: A, C, D, F, G </w:t>
            </w:r>
          </w:p>
          <w:p w:rsidR="00EA0C69" w:rsidRPr="006F464E" w:rsidRDefault="00EA0C69" w:rsidP="00F521AE">
            <w:pPr>
              <w:pStyle w:val="ekvtabelle"/>
            </w:pPr>
            <w:r>
              <w:t>Anfechtbarkeit: B, E, H</w:t>
            </w:r>
          </w:p>
        </w:tc>
      </w:tr>
      <w:tr w:rsidR="00EA0C69" w:rsidRPr="006F464E" w:rsidTr="00F521AE">
        <w:tc>
          <w:tcPr>
            <w:tcW w:w="851" w:type="dxa"/>
            <w:shd w:val="clear" w:color="auto" w:fill="auto"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26.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>
              <w:t>D</w:t>
            </w:r>
          </w:p>
        </w:tc>
      </w:tr>
      <w:tr w:rsidR="00EA0C69" w:rsidRPr="006F464E" w:rsidTr="00F521AE">
        <w:tc>
          <w:tcPr>
            <w:tcW w:w="851" w:type="dxa"/>
            <w:shd w:val="clear" w:color="auto" w:fill="auto"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27.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>
              <w:t>C</w:t>
            </w:r>
          </w:p>
        </w:tc>
      </w:tr>
      <w:tr w:rsidR="00EA0C69" w:rsidRPr="006F464E" w:rsidTr="00F521AE">
        <w:tc>
          <w:tcPr>
            <w:tcW w:w="851" w:type="dxa"/>
            <w:shd w:val="clear" w:color="auto" w:fill="auto"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28.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 w:rsidRPr="006F464E">
              <w:t>C</w:t>
            </w:r>
          </w:p>
        </w:tc>
      </w:tr>
      <w:tr w:rsidR="00EA0C69" w:rsidRPr="006F464E" w:rsidTr="00F521AE">
        <w:tc>
          <w:tcPr>
            <w:tcW w:w="851" w:type="dxa"/>
            <w:shd w:val="clear" w:color="auto" w:fill="auto"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29.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>
              <w:t>C</w:t>
            </w:r>
          </w:p>
        </w:tc>
      </w:tr>
      <w:tr w:rsidR="00EA0C69" w:rsidRPr="006F464E" w:rsidTr="00F521AE">
        <w:tc>
          <w:tcPr>
            <w:tcW w:w="851" w:type="dxa"/>
            <w:shd w:val="clear" w:color="auto" w:fill="auto"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30.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>
              <w:t>B</w:t>
            </w:r>
          </w:p>
        </w:tc>
      </w:tr>
      <w:tr w:rsidR="00EA0C69" w:rsidRPr="006F464E" w:rsidTr="00F521AE">
        <w:tc>
          <w:tcPr>
            <w:tcW w:w="851" w:type="dxa"/>
            <w:shd w:val="clear" w:color="auto" w:fill="auto"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31.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>
              <w:t>E</w:t>
            </w:r>
          </w:p>
        </w:tc>
      </w:tr>
      <w:tr w:rsidR="00EA0C69" w:rsidRPr="006F464E" w:rsidTr="00F521AE">
        <w:tc>
          <w:tcPr>
            <w:tcW w:w="851" w:type="dxa"/>
            <w:shd w:val="clear" w:color="auto" w:fill="auto"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32.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>
              <w:t>B</w:t>
            </w:r>
          </w:p>
        </w:tc>
      </w:tr>
      <w:tr w:rsidR="00EA0C69" w:rsidRPr="006F464E" w:rsidTr="00F521AE">
        <w:tc>
          <w:tcPr>
            <w:tcW w:w="851" w:type="dxa"/>
            <w:shd w:val="clear" w:color="auto" w:fill="auto"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33.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>
              <w:t>C</w:t>
            </w:r>
          </w:p>
        </w:tc>
      </w:tr>
      <w:tr w:rsidR="00EA0C69" w:rsidRPr="006F464E" w:rsidTr="00F521AE">
        <w:tc>
          <w:tcPr>
            <w:tcW w:w="851" w:type="dxa"/>
            <w:shd w:val="clear" w:color="auto" w:fill="auto"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34.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>
              <w:t>C</w:t>
            </w:r>
          </w:p>
        </w:tc>
      </w:tr>
      <w:tr w:rsidR="00EA0C69" w:rsidRPr="006F464E" w:rsidTr="00F521AE"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 w:rsidRPr="006F464E">
              <w:rPr>
                <w:b/>
              </w:rPr>
              <w:t>35.</w:t>
            </w:r>
          </w:p>
        </w:tc>
        <w:tc>
          <w:tcPr>
            <w:tcW w:w="8505" w:type="dxa"/>
            <w:tcBorders>
              <w:bottom w:val="single" w:sz="4" w:space="0" w:color="000000"/>
            </w:tcBorders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>
              <w:t>E</w:t>
            </w:r>
          </w:p>
        </w:tc>
      </w:tr>
      <w:tr w:rsidR="00EA0C69" w:rsidRPr="006F464E" w:rsidTr="00F521AE"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>
              <w:rPr>
                <w:b/>
              </w:rPr>
              <w:lastRenderedPageBreak/>
              <w:t>36.</w:t>
            </w:r>
          </w:p>
        </w:tc>
        <w:tc>
          <w:tcPr>
            <w:tcW w:w="8505" w:type="dxa"/>
            <w:tcBorders>
              <w:bottom w:val="single" w:sz="4" w:space="0" w:color="000000"/>
            </w:tcBorders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>
              <w:t>B</w:t>
            </w:r>
          </w:p>
        </w:tc>
      </w:tr>
      <w:tr w:rsidR="00EA0C69" w:rsidRPr="006F464E" w:rsidTr="00F521AE">
        <w:tc>
          <w:tcPr>
            <w:tcW w:w="851" w:type="dxa"/>
            <w:tcBorders>
              <w:bottom w:val="single" w:sz="6" w:space="0" w:color="000000"/>
            </w:tcBorders>
            <w:shd w:val="clear" w:color="auto" w:fill="auto"/>
          </w:tcPr>
          <w:p w:rsidR="00EA0C69" w:rsidRPr="006F464E" w:rsidRDefault="00EA0C69" w:rsidP="00F521AE">
            <w:pPr>
              <w:pStyle w:val="ekvtabelle"/>
              <w:rPr>
                <w:b/>
              </w:rPr>
            </w:pPr>
            <w:r>
              <w:rPr>
                <w:b/>
              </w:rPr>
              <w:t>37</w:t>
            </w:r>
            <w:r w:rsidRPr="006F464E">
              <w:rPr>
                <w:b/>
              </w:rPr>
              <w:t>.</w:t>
            </w:r>
          </w:p>
        </w:tc>
        <w:tc>
          <w:tcPr>
            <w:tcW w:w="8505" w:type="dxa"/>
            <w:tcBorders>
              <w:bottom w:val="single" w:sz="6" w:space="0" w:color="000000"/>
            </w:tcBorders>
            <w:shd w:val="clear" w:color="auto" w:fill="auto"/>
            <w:tcMar>
              <w:left w:w="113" w:type="dxa"/>
            </w:tcMar>
          </w:tcPr>
          <w:p w:rsidR="00EA0C69" w:rsidRPr="006F464E" w:rsidRDefault="00EA0C69" w:rsidP="00F521AE">
            <w:pPr>
              <w:pStyle w:val="ekvtabelle"/>
            </w:pPr>
            <w:r>
              <w:t>B</w:t>
            </w:r>
          </w:p>
        </w:tc>
      </w:tr>
    </w:tbl>
    <w:p w:rsidR="00EA0C69" w:rsidRDefault="00EA0C69" w:rsidP="00EA0C69">
      <w:pPr>
        <w:pStyle w:val="ekvgrundtexthalbe"/>
      </w:pPr>
    </w:p>
    <w:p w:rsidR="00166019" w:rsidRDefault="00166019" w:rsidP="004B17DA"/>
    <w:sectPr w:rsidR="00166019" w:rsidSect="00EC1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C69" w:rsidRDefault="00EA0C69" w:rsidP="003C599D">
      <w:pPr>
        <w:spacing w:line="240" w:lineRule="auto"/>
      </w:pPr>
      <w:r>
        <w:separator/>
      </w:r>
    </w:p>
  </w:endnote>
  <w:endnote w:type="continuationSeparator" w:id="0">
    <w:p w:rsidR="00EA0C69" w:rsidRDefault="00EA0C69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B7" w:rsidRDefault="00A025B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:rsidTr="00503EE6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A025B7">
          <w:pPr>
            <w:pStyle w:val="ekvpagina"/>
          </w:pPr>
          <w:r w:rsidRPr="00913892">
            <w:t>© Ernst Klett Verlag GmbH, Stuttgart 201</w:t>
          </w:r>
          <w:r w:rsidR="00A025B7">
            <w:t>9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tbl>
          <w:tblPr>
            <w:tblW w:w="11000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11000"/>
          </w:tblGrid>
          <w:tr w:rsidR="00A025B7" w:rsidRPr="00CE483B" w:rsidTr="00F521AE">
            <w:trPr>
              <w:trHeight w:hRule="exact" w:val="680"/>
            </w:trPr>
            <w:tc>
              <w:tcPr>
                <w:tcW w:w="5753" w:type="dxa"/>
                <w:noWrap/>
              </w:tcPr>
              <w:p w:rsidR="00A025B7" w:rsidRPr="00CE483B" w:rsidRDefault="00A025B7" w:rsidP="00F521AE">
                <w:pPr>
                  <w:pStyle w:val="ekvquelle"/>
                  <w:rPr>
                    <w:rFonts w:eastAsia="Calibri" w:cs="Times New Roman"/>
                  </w:rPr>
                </w:pPr>
                <w:r w:rsidRPr="00CE483B">
                  <w:rPr>
                    <w:rFonts w:eastAsia="Calibri" w:cs="Times New Roman"/>
                    <w:b/>
                  </w:rPr>
                  <w:t>Autoren</w:t>
                </w:r>
                <w:r w:rsidRPr="00CE483B">
                  <w:rPr>
                    <w:rFonts w:eastAsia="Calibri" w:cs="Times New Roman"/>
                  </w:rPr>
                  <w:t>: Petrer Nabholz, Eningen; Wilhelm Overkamp, Bocholt</w:t>
                </w:r>
              </w:p>
            </w:tc>
          </w:tr>
        </w:tbl>
        <w:p w:rsidR="00193A18" w:rsidRPr="00913892" w:rsidRDefault="00193A18" w:rsidP="004136AD">
          <w:pPr>
            <w:pStyle w:val="ekvquelle"/>
          </w:pPr>
        </w:p>
      </w:tc>
      <w:tc>
        <w:tcPr>
          <w:tcW w:w="813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B7" w:rsidRDefault="00A025B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C69" w:rsidRDefault="00EA0C69" w:rsidP="003C599D">
      <w:pPr>
        <w:spacing w:line="240" w:lineRule="auto"/>
      </w:pPr>
      <w:r>
        <w:separator/>
      </w:r>
    </w:p>
  </w:footnote>
  <w:footnote w:type="continuationSeparator" w:id="0">
    <w:p w:rsidR="00EA0C69" w:rsidRDefault="00EA0C69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B7" w:rsidRDefault="00A025B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B7" w:rsidRDefault="00A025B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B7" w:rsidRDefault="00A025B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69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25B7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4752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0C69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EA0C69"/>
    <w:rPr>
      <w:rFonts w:ascii="Arial" w:hAnsi="Arial"/>
      <w:sz w:val="19"/>
      <w:szCs w:val="22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EA0C69"/>
    <w:rPr>
      <w:rFonts w:ascii="Arial" w:hAnsi="Arial"/>
      <w:sz w:val="19"/>
      <w:szCs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genfe\AppData\Roaming\Microsoft\Templates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3</cp:revision>
  <cp:lastPrinted>2016-12-23T16:36:00Z</cp:lastPrinted>
  <dcterms:created xsi:type="dcterms:W3CDTF">2019-05-29T10:31:00Z</dcterms:created>
  <dcterms:modified xsi:type="dcterms:W3CDTF">2019-05-29T11:01:00Z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