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2C5D15" w:rsidRPr="00C172AE" w:rsidTr="001C499E">
        <w:trPr>
          <w:trHeight w:hRule="exact" w:val="510"/>
        </w:trPr>
        <w:tc>
          <w:tcPr>
            <w:tcW w:w="818" w:type="dxa"/>
            <w:tcBorders>
              <w:top w:val="nil"/>
              <w:bottom w:val="nil"/>
              <w:right w:val="nil"/>
            </w:tcBorders>
            <w:noWrap/>
            <w:vAlign w:val="bottom"/>
          </w:tcPr>
          <w:p w:rsidR="002C5D15" w:rsidRPr="00AE65F6" w:rsidRDefault="002C5D15" w:rsidP="00362B02">
            <w:pPr>
              <w:pageBreakBefore/>
              <w:rPr>
                <w:color w:val="FFFFFF" w:themeColor="background1"/>
              </w:rPr>
            </w:pPr>
          </w:p>
        </w:tc>
        <w:tc>
          <w:tcPr>
            <w:tcW w:w="3856" w:type="dxa"/>
            <w:tcBorders>
              <w:top w:val="nil"/>
              <w:left w:val="nil"/>
              <w:bottom w:val="nil"/>
              <w:right w:val="nil"/>
            </w:tcBorders>
            <w:noWrap/>
            <w:vAlign w:val="bottom"/>
          </w:tcPr>
          <w:p w:rsidR="002C5D15" w:rsidRPr="007C1230" w:rsidRDefault="002C5D15" w:rsidP="007C1230">
            <w:pPr>
              <w:pStyle w:val="ekvkolumnentitel"/>
            </w:pPr>
            <w:r w:rsidRPr="007C1230">
              <w:t>Name:</w:t>
            </w:r>
          </w:p>
        </w:tc>
        <w:tc>
          <w:tcPr>
            <w:tcW w:w="1321" w:type="dxa"/>
            <w:tcBorders>
              <w:top w:val="nil"/>
              <w:left w:val="nil"/>
              <w:bottom w:val="nil"/>
              <w:right w:val="nil"/>
            </w:tcBorders>
            <w:noWrap/>
            <w:vAlign w:val="bottom"/>
          </w:tcPr>
          <w:p w:rsidR="002C5D15" w:rsidRPr="007C1230" w:rsidRDefault="002C5D15" w:rsidP="007C1230">
            <w:pPr>
              <w:pStyle w:val="ekvkolumnentitel"/>
            </w:pPr>
            <w:r w:rsidRPr="007C1230">
              <w:t>Klasse:</w:t>
            </w:r>
          </w:p>
        </w:tc>
        <w:tc>
          <w:tcPr>
            <w:tcW w:w="2041" w:type="dxa"/>
            <w:tcBorders>
              <w:top w:val="nil"/>
              <w:left w:val="nil"/>
              <w:bottom w:val="nil"/>
              <w:right w:val="nil"/>
            </w:tcBorders>
            <w:noWrap/>
            <w:vAlign w:val="bottom"/>
          </w:tcPr>
          <w:p w:rsidR="002C5D15" w:rsidRPr="007C1230" w:rsidRDefault="002C5D15" w:rsidP="007C1230">
            <w:pPr>
              <w:pStyle w:val="ekvkolumnentitel"/>
            </w:pPr>
            <w:r w:rsidRPr="007C1230">
              <w:t>Datum:</w:t>
            </w:r>
          </w:p>
        </w:tc>
        <w:tc>
          <w:tcPr>
            <w:tcW w:w="2081" w:type="dxa"/>
            <w:tcBorders>
              <w:top w:val="nil"/>
              <w:left w:val="nil"/>
              <w:bottom w:val="nil"/>
              <w:right w:val="nil"/>
            </w:tcBorders>
            <w:noWrap/>
            <w:vAlign w:val="bottom"/>
          </w:tcPr>
          <w:p w:rsidR="002C5D15" w:rsidRPr="007C1230" w:rsidRDefault="00E35123" w:rsidP="007C1230">
            <w:pPr>
              <w:pStyle w:val="ekvkvnummer"/>
            </w:pPr>
            <w:r>
              <w:t>Lösungen</w:t>
            </w:r>
          </w:p>
        </w:tc>
        <w:tc>
          <w:tcPr>
            <w:tcW w:w="883" w:type="dxa"/>
            <w:tcBorders>
              <w:top w:val="nil"/>
              <w:left w:val="nil"/>
              <w:bottom w:val="nil"/>
            </w:tcBorders>
            <w:noWrap/>
            <w:vAlign w:val="bottom"/>
          </w:tcPr>
          <w:p w:rsidR="002C5D15" w:rsidRPr="007636A0" w:rsidRDefault="00572F9C" w:rsidP="009078CB">
            <w:pPr>
              <w:pStyle w:val="ekvkapitel"/>
              <w:rPr>
                <w:color w:val="FFFFFF" w:themeColor="background1"/>
              </w:rPr>
            </w:pPr>
            <w:r>
              <w:t>7</w:t>
            </w:r>
          </w:p>
        </w:tc>
      </w:tr>
      <w:tr w:rsidR="00583FC8" w:rsidRPr="00BF17F2"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583FC8" w:rsidRPr="00BF17F2" w:rsidRDefault="00583FC8" w:rsidP="00AE65F6">
            <w:pPr>
              <w:rPr>
                <w:color w:val="FFFFFF" w:themeColor="background1"/>
              </w:rPr>
            </w:pPr>
          </w:p>
        </w:tc>
        <w:tc>
          <w:tcPr>
            <w:tcW w:w="10182" w:type="dxa"/>
            <w:gridSpan w:val="5"/>
            <w:tcBorders>
              <w:left w:val="nil"/>
              <w:bottom w:val="nil"/>
            </w:tcBorders>
            <w:noWrap/>
            <w:vAlign w:val="bottom"/>
          </w:tcPr>
          <w:p w:rsidR="00583FC8" w:rsidRPr="00BF17F2" w:rsidRDefault="00583FC8" w:rsidP="00037566">
            <w:pPr>
              <w:rPr>
                <w:color w:val="FFFFFF" w:themeColor="background1"/>
              </w:rPr>
            </w:pPr>
          </w:p>
        </w:tc>
      </w:tr>
    </w:tbl>
    <w:p w:rsidR="00E35123" w:rsidRDefault="00E35123" w:rsidP="00E35123">
      <w:pPr>
        <w:pStyle w:val="ekvue1arial"/>
      </w:pPr>
      <w:bookmarkStart w:id="0" w:name="bmStart"/>
      <w:bookmarkEnd w:id="0"/>
      <w:r w:rsidRPr="00F94B7A">
        <w:t>Prüfungsaufgaben</w:t>
      </w:r>
    </w:p>
    <w:p w:rsidR="00572F9C" w:rsidRPr="00C2170D" w:rsidRDefault="00572F9C" w:rsidP="00572F9C">
      <w:pPr>
        <w:pStyle w:val="ekvue2arial"/>
      </w:pPr>
      <w:r w:rsidRPr="00AF2F1B">
        <w:t>Deutschland in Europa und der Welt</w:t>
      </w:r>
    </w:p>
    <w:p w:rsidR="00E35123" w:rsidRDefault="00E35123" w:rsidP="00E35123"/>
    <w:tbl>
      <w:tblPr>
        <w:tblW w:w="9356" w:type="dxa"/>
        <w:tblBorders>
          <w:top w:val="single" w:sz="4" w:space="0" w:color="000000"/>
          <w:bottom w:val="single" w:sz="4" w:space="0" w:color="000000"/>
          <w:insideH w:val="single" w:sz="4" w:space="0" w:color="000000"/>
          <w:insideV w:val="single" w:sz="4" w:space="0" w:color="000000"/>
        </w:tblBorders>
        <w:tblLayout w:type="fixed"/>
        <w:tblCellMar>
          <w:top w:w="28" w:type="dxa"/>
          <w:left w:w="0" w:type="dxa"/>
          <w:bottom w:w="28" w:type="dxa"/>
          <w:right w:w="0" w:type="dxa"/>
        </w:tblCellMar>
        <w:tblLook w:val="04A0" w:firstRow="1" w:lastRow="0" w:firstColumn="1" w:lastColumn="0" w:noHBand="0" w:noVBand="1"/>
      </w:tblPr>
      <w:tblGrid>
        <w:gridCol w:w="851"/>
        <w:gridCol w:w="8505"/>
      </w:tblGrid>
      <w:tr w:rsidR="00E35123" w:rsidRPr="00AA6AB1" w:rsidTr="0070288D">
        <w:tc>
          <w:tcPr>
            <w:tcW w:w="851" w:type="dxa"/>
            <w:tcBorders>
              <w:top w:val="single" w:sz="6" w:space="0" w:color="000000"/>
              <w:bottom w:val="single" w:sz="6" w:space="0" w:color="000000"/>
            </w:tcBorders>
            <w:shd w:val="clear" w:color="auto" w:fill="auto"/>
            <w:hideMark/>
          </w:tcPr>
          <w:p w:rsidR="00E35123" w:rsidRPr="00AA6AB1" w:rsidRDefault="00E35123" w:rsidP="0070288D">
            <w:pPr>
              <w:pStyle w:val="ekvtabelle"/>
              <w:rPr>
                <w:b/>
              </w:rPr>
            </w:pPr>
            <w:r w:rsidRPr="00AA6AB1">
              <w:rPr>
                <w:b/>
              </w:rPr>
              <w:t xml:space="preserve">Nr. </w:t>
            </w:r>
          </w:p>
        </w:tc>
        <w:tc>
          <w:tcPr>
            <w:tcW w:w="8505" w:type="dxa"/>
            <w:tcBorders>
              <w:top w:val="single" w:sz="6" w:space="0" w:color="000000"/>
              <w:bottom w:val="single" w:sz="6" w:space="0" w:color="000000"/>
            </w:tcBorders>
            <w:shd w:val="clear" w:color="auto" w:fill="auto"/>
            <w:tcMar>
              <w:left w:w="113" w:type="dxa"/>
            </w:tcMar>
            <w:hideMark/>
          </w:tcPr>
          <w:p w:rsidR="00E35123" w:rsidRPr="00AA6AB1" w:rsidRDefault="00E35123" w:rsidP="0070288D">
            <w:pPr>
              <w:pStyle w:val="ekvtabelle"/>
              <w:rPr>
                <w:b/>
              </w:rPr>
            </w:pPr>
            <w:r w:rsidRPr="00AA6AB1">
              <w:rPr>
                <w:b/>
              </w:rPr>
              <w:t>Lösung</w:t>
            </w:r>
          </w:p>
        </w:tc>
      </w:tr>
      <w:tr w:rsidR="00572F9C" w:rsidRPr="00AA6AB1" w:rsidTr="00B86B61">
        <w:tc>
          <w:tcPr>
            <w:tcW w:w="851" w:type="dxa"/>
            <w:tcBorders>
              <w:top w:val="single" w:sz="6" w:space="0" w:color="000000"/>
            </w:tcBorders>
            <w:shd w:val="clear" w:color="auto" w:fill="auto"/>
          </w:tcPr>
          <w:p w:rsidR="00572F9C" w:rsidRPr="00AA6AB1" w:rsidRDefault="00572F9C" w:rsidP="00B86B61">
            <w:pPr>
              <w:pStyle w:val="ekvtabelle"/>
              <w:rPr>
                <w:b/>
              </w:rPr>
            </w:pPr>
            <w:r w:rsidRPr="00AA6AB1">
              <w:rPr>
                <w:b/>
              </w:rPr>
              <w:t>1.</w:t>
            </w:r>
          </w:p>
        </w:tc>
        <w:tc>
          <w:tcPr>
            <w:tcW w:w="8505" w:type="dxa"/>
            <w:tcBorders>
              <w:top w:val="single" w:sz="6" w:space="0" w:color="000000"/>
            </w:tcBorders>
            <w:shd w:val="clear" w:color="auto" w:fill="auto"/>
            <w:tcMar>
              <w:left w:w="113" w:type="dxa"/>
            </w:tcMar>
          </w:tcPr>
          <w:p w:rsidR="00572F9C" w:rsidRPr="00AA6AB1" w:rsidRDefault="00572F9C" w:rsidP="00B86B61">
            <w:pPr>
              <w:pStyle w:val="ekvtabelle"/>
            </w:pPr>
            <w:r>
              <w:t>E</w:t>
            </w:r>
          </w:p>
        </w:tc>
      </w:tr>
      <w:tr w:rsidR="00572F9C" w:rsidRPr="00AA6AB1" w:rsidTr="00B86B61">
        <w:tc>
          <w:tcPr>
            <w:tcW w:w="851" w:type="dxa"/>
            <w:shd w:val="clear" w:color="auto" w:fill="auto"/>
            <w:hideMark/>
          </w:tcPr>
          <w:p w:rsidR="00572F9C" w:rsidRPr="00AA6AB1" w:rsidRDefault="00572F9C" w:rsidP="00B86B61">
            <w:pPr>
              <w:pStyle w:val="ekvtabelle"/>
              <w:rPr>
                <w:b/>
              </w:rPr>
            </w:pPr>
            <w:r w:rsidRPr="00AA6AB1">
              <w:rPr>
                <w:b/>
              </w:rPr>
              <w:t>2.</w:t>
            </w:r>
          </w:p>
        </w:tc>
        <w:tc>
          <w:tcPr>
            <w:tcW w:w="8505" w:type="dxa"/>
            <w:shd w:val="clear" w:color="auto" w:fill="auto"/>
            <w:tcMar>
              <w:left w:w="113" w:type="dxa"/>
            </w:tcMar>
          </w:tcPr>
          <w:p w:rsidR="00572F9C" w:rsidRPr="00AA6AB1" w:rsidRDefault="00572F9C" w:rsidP="00B86B61">
            <w:pPr>
              <w:pStyle w:val="ekvtabelle"/>
            </w:pPr>
            <w:r>
              <w:t>C</w:t>
            </w:r>
          </w:p>
        </w:tc>
      </w:tr>
      <w:tr w:rsidR="00572F9C" w:rsidRPr="00AA6AB1" w:rsidTr="00B86B61">
        <w:tc>
          <w:tcPr>
            <w:tcW w:w="851" w:type="dxa"/>
            <w:tcBorders>
              <w:bottom w:val="single" w:sz="4" w:space="0" w:color="000000"/>
            </w:tcBorders>
            <w:shd w:val="clear" w:color="auto" w:fill="auto"/>
            <w:hideMark/>
          </w:tcPr>
          <w:p w:rsidR="00572F9C" w:rsidRPr="00AA6AB1" w:rsidRDefault="00572F9C" w:rsidP="00B86B61">
            <w:pPr>
              <w:pStyle w:val="ekvtabelle"/>
              <w:rPr>
                <w:b/>
              </w:rPr>
            </w:pPr>
            <w:r w:rsidRPr="00AA6AB1">
              <w:rPr>
                <w:b/>
              </w:rPr>
              <w:t>3.</w:t>
            </w:r>
          </w:p>
        </w:tc>
        <w:tc>
          <w:tcPr>
            <w:tcW w:w="8505" w:type="dxa"/>
            <w:tcBorders>
              <w:bottom w:val="single" w:sz="4" w:space="0" w:color="000000"/>
            </w:tcBorders>
            <w:shd w:val="clear" w:color="auto" w:fill="auto"/>
            <w:tcMar>
              <w:left w:w="113" w:type="dxa"/>
            </w:tcMar>
          </w:tcPr>
          <w:p w:rsidR="00572F9C" w:rsidRPr="00AA6AB1" w:rsidRDefault="00572F9C" w:rsidP="00B86B61">
            <w:pPr>
              <w:pStyle w:val="ekvtabelle"/>
            </w:pPr>
            <w:r>
              <w:t>B, C</w:t>
            </w:r>
          </w:p>
        </w:tc>
      </w:tr>
      <w:tr w:rsidR="00572F9C" w:rsidRPr="00AA6AB1" w:rsidTr="00B86B61">
        <w:tc>
          <w:tcPr>
            <w:tcW w:w="851" w:type="dxa"/>
            <w:shd w:val="clear" w:color="auto" w:fill="auto"/>
          </w:tcPr>
          <w:p w:rsidR="00572F9C" w:rsidRPr="00AA6AB1" w:rsidRDefault="00572F9C" w:rsidP="00B86B61">
            <w:pPr>
              <w:pStyle w:val="ekvtabelle"/>
              <w:rPr>
                <w:b/>
              </w:rPr>
            </w:pPr>
            <w:r w:rsidRPr="00AA6AB1">
              <w:rPr>
                <w:b/>
              </w:rPr>
              <w:t>4.</w:t>
            </w:r>
          </w:p>
        </w:tc>
        <w:tc>
          <w:tcPr>
            <w:tcW w:w="8505" w:type="dxa"/>
            <w:shd w:val="clear" w:color="auto" w:fill="auto"/>
            <w:tcMar>
              <w:left w:w="113" w:type="dxa"/>
            </w:tcMar>
          </w:tcPr>
          <w:p w:rsidR="00572F9C" w:rsidRPr="00AA6AB1" w:rsidRDefault="00572F9C" w:rsidP="00B86B61">
            <w:pPr>
              <w:pStyle w:val="ekvtabelle"/>
            </w:pPr>
            <w:r>
              <w:t>A, C, D, E, I</w:t>
            </w:r>
          </w:p>
        </w:tc>
      </w:tr>
      <w:tr w:rsidR="00572F9C" w:rsidRPr="00AA6AB1" w:rsidTr="00B86B61">
        <w:tc>
          <w:tcPr>
            <w:tcW w:w="851" w:type="dxa"/>
            <w:shd w:val="clear" w:color="auto" w:fill="auto"/>
          </w:tcPr>
          <w:p w:rsidR="00572F9C" w:rsidRPr="00AA6AB1" w:rsidRDefault="00572F9C" w:rsidP="00B86B61">
            <w:pPr>
              <w:pStyle w:val="ekvtabelle"/>
              <w:rPr>
                <w:b/>
              </w:rPr>
            </w:pPr>
            <w:r w:rsidRPr="00AA6AB1">
              <w:rPr>
                <w:b/>
              </w:rPr>
              <w:t>5.</w:t>
            </w:r>
          </w:p>
        </w:tc>
        <w:tc>
          <w:tcPr>
            <w:tcW w:w="8505" w:type="dxa"/>
            <w:shd w:val="clear" w:color="auto" w:fill="auto"/>
            <w:tcMar>
              <w:left w:w="113" w:type="dxa"/>
            </w:tcMar>
          </w:tcPr>
          <w:p w:rsidR="00572F9C" w:rsidRPr="002B43C1" w:rsidRDefault="002B43C1" w:rsidP="002B43C1">
            <w:pPr>
              <w:pStyle w:val="ekvtabelle"/>
            </w:pPr>
            <w:r>
              <w:t xml:space="preserve">A: </w:t>
            </w:r>
            <w:r w:rsidR="00572F9C" w:rsidRPr="002B43C1">
              <w:t>Ausfuhr von Gütern und Dienstleistungen in andere Staaten.</w:t>
            </w:r>
          </w:p>
          <w:p w:rsidR="002B43C1" w:rsidRPr="002B43C1" w:rsidRDefault="002B43C1" w:rsidP="002B43C1">
            <w:pPr>
              <w:pStyle w:val="ekvtabelle"/>
              <w:ind w:left="213" w:hanging="213"/>
            </w:pPr>
            <w:r w:rsidRPr="002B43C1">
              <w:t>B:</w:t>
            </w:r>
            <w:r>
              <w:t xml:space="preserve"> </w:t>
            </w:r>
            <w:r w:rsidRPr="002B43C1">
              <w:t>Die Höhe der Exporte pro Einwohner reicht von 78 571 $ (Hongkong) bis 1 641 $ (China). Nach Exporten pro Kopf der Bevölkerung ergibt sich folgende Rangfolge: Hongkong (Sonderstellung als Transitstaat für chinesische Produkte), Niederlande, Deutschland, Südkorea, Italien, Frankreich, Großbritannien, Japan, USA, China. Das bedeutet: China exportiert zwar insgesamt die meisten Güter, findet sich aber auf dem letzten Platz, we</w:t>
            </w:r>
            <w:bookmarkStart w:id="1" w:name="_GoBack"/>
            <w:bookmarkEnd w:id="1"/>
            <w:r w:rsidRPr="002B43C1">
              <w:t xml:space="preserve">nn man berücksichtigt, wie viele Menschen dort leben. Die Angabe „Export pro Einwohner“ ist aussagekräftiger als die Gesamtsumme des Exports, wenn es um die Bedeutung des Exports für das jeweilige Land geht. </w:t>
            </w:r>
            <w:r>
              <w:br/>
            </w:r>
            <w:r w:rsidRPr="002B43C1">
              <w:t xml:space="preserve">Die Höhe der Exporte pro Einwohner ist aber noch kein eindeutiges Indiz für die Stärke einer Volkswirtschaft; diese Zahl kann auch niedrig sein, weil der Binnenmarkt (d. h. der Handel innerhalb des Landes) groß ist. Das zeigt das Beispiel der USA: Ein Großteil des Handels der USA ist Binnenhandel. Auch Chinas Volkswirtschaft ist wegen der hohen Einwohnerzahl (d. h. des großen Binnenmarkts) nicht so schwach, wie der Pro-Kopf-Export suggeriert. </w:t>
            </w:r>
            <w:r w:rsidRPr="002B43C1">
              <w:br/>
              <w:t>Eine niedrige Einwohnerzahl bedeutet, dass der Binnenmarkt klein ist. Dies erklärt die hohen Exporte der Niederlande.</w:t>
            </w:r>
          </w:p>
          <w:p w:rsidR="00572F9C" w:rsidRPr="00AA6AB1" w:rsidRDefault="00572F9C" w:rsidP="002B43C1">
            <w:pPr>
              <w:pStyle w:val="ekvtabelle"/>
            </w:pPr>
            <w:r w:rsidRPr="002B43C1">
              <w:t>C: Fahrzeuge, Maschinen, chemische Erzeugnisse, EDV.</w:t>
            </w:r>
          </w:p>
        </w:tc>
      </w:tr>
      <w:tr w:rsidR="00572F9C" w:rsidRPr="00AA6AB1" w:rsidTr="00B86B61">
        <w:tc>
          <w:tcPr>
            <w:tcW w:w="851" w:type="dxa"/>
            <w:shd w:val="clear" w:color="auto" w:fill="auto"/>
          </w:tcPr>
          <w:p w:rsidR="00572F9C" w:rsidRPr="00AA6AB1" w:rsidRDefault="00572F9C" w:rsidP="00B86B61">
            <w:pPr>
              <w:pStyle w:val="ekvtabelle"/>
              <w:rPr>
                <w:b/>
              </w:rPr>
            </w:pPr>
            <w:r w:rsidRPr="00AA6AB1">
              <w:rPr>
                <w:b/>
              </w:rPr>
              <w:t>6.</w:t>
            </w:r>
          </w:p>
        </w:tc>
        <w:tc>
          <w:tcPr>
            <w:tcW w:w="8505" w:type="dxa"/>
            <w:shd w:val="clear" w:color="auto" w:fill="auto"/>
            <w:tcMar>
              <w:left w:w="113" w:type="dxa"/>
            </w:tcMar>
          </w:tcPr>
          <w:p w:rsidR="00572F9C" w:rsidRPr="00AA6AB1" w:rsidRDefault="00572F9C" w:rsidP="00B86B61">
            <w:pPr>
              <w:pStyle w:val="ekvtabelle"/>
            </w:pPr>
            <w:r>
              <w:t>B</w:t>
            </w:r>
          </w:p>
        </w:tc>
      </w:tr>
      <w:tr w:rsidR="00572F9C" w:rsidRPr="00AA6AB1" w:rsidTr="00B86B61">
        <w:tc>
          <w:tcPr>
            <w:tcW w:w="851" w:type="dxa"/>
            <w:shd w:val="clear" w:color="auto" w:fill="auto"/>
          </w:tcPr>
          <w:p w:rsidR="00572F9C" w:rsidRPr="00AA6AB1" w:rsidRDefault="00572F9C" w:rsidP="00B86B61">
            <w:pPr>
              <w:pStyle w:val="ekvtabelle"/>
              <w:rPr>
                <w:b/>
              </w:rPr>
            </w:pPr>
            <w:r w:rsidRPr="00AA6AB1">
              <w:rPr>
                <w:b/>
              </w:rPr>
              <w:t>7.</w:t>
            </w:r>
          </w:p>
        </w:tc>
        <w:tc>
          <w:tcPr>
            <w:tcW w:w="8505" w:type="dxa"/>
            <w:shd w:val="clear" w:color="auto" w:fill="auto"/>
            <w:tcMar>
              <w:left w:w="113" w:type="dxa"/>
            </w:tcMar>
          </w:tcPr>
          <w:p w:rsidR="00572F9C" w:rsidRPr="00AA6AB1" w:rsidRDefault="00572F9C" w:rsidP="00B86B61">
            <w:pPr>
              <w:pStyle w:val="ekvtabelle"/>
            </w:pPr>
            <w:r>
              <w:t>A</w:t>
            </w:r>
          </w:p>
        </w:tc>
      </w:tr>
      <w:tr w:rsidR="00572F9C" w:rsidRPr="00AA6AB1" w:rsidTr="00B86B61">
        <w:tc>
          <w:tcPr>
            <w:tcW w:w="851" w:type="dxa"/>
            <w:shd w:val="clear" w:color="auto" w:fill="auto"/>
          </w:tcPr>
          <w:p w:rsidR="00572F9C" w:rsidRPr="00AA6AB1" w:rsidRDefault="00572F9C" w:rsidP="00B86B61">
            <w:pPr>
              <w:pStyle w:val="ekvtabelle"/>
              <w:rPr>
                <w:b/>
              </w:rPr>
            </w:pPr>
            <w:r w:rsidRPr="00AA6AB1">
              <w:rPr>
                <w:b/>
              </w:rPr>
              <w:t>8.</w:t>
            </w:r>
          </w:p>
        </w:tc>
        <w:tc>
          <w:tcPr>
            <w:tcW w:w="8505" w:type="dxa"/>
            <w:shd w:val="clear" w:color="auto" w:fill="auto"/>
            <w:tcMar>
              <w:left w:w="113" w:type="dxa"/>
            </w:tcMar>
          </w:tcPr>
          <w:p w:rsidR="00572F9C" w:rsidRPr="00AA6AB1" w:rsidRDefault="00572F9C" w:rsidP="00B86B61">
            <w:pPr>
              <w:pStyle w:val="ekvtabelle"/>
            </w:pPr>
            <w:r>
              <w:t>D</w:t>
            </w:r>
          </w:p>
        </w:tc>
      </w:tr>
      <w:tr w:rsidR="00572F9C" w:rsidRPr="00AA6AB1" w:rsidTr="00B86B61">
        <w:tc>
          <w:tcPr>
            <w:tcW w:w="851" w:type="dxa"/>
            <w:shd w:val="clear" w:color="auto" w:fill="auto"/>
          </w:tcPr>
          <w:p w:rsidR="00572F9C" w:rsidRPr="00AA6AB1" w:rsidRDefault="00572F9C" w:rsidP="00B86B61">
            <w:pPr>
              <w:pStyle w:val="ekvtabelle"/>
              <w:rPr>
                <w:b/>
              </w:rPr>
            </w:pPr>
            <w:r w:rsidRPr="00AA6AB1">
              <w:rPr>
                <w:b/>
              </w:rPr>
              <w:t>9.</w:t>
            </w:r>
          </w:p>
        </w:tc>
        <w:tc>
          <w:tcPr>
            <w:tcW w:w="8505" w:type="dxa"/>
            <w:shd w:val="clear" w:color="auto" w:fill="auto"/>
            <w:tcMar>
              <w:left w:w="113" w:type="dxa"/>
            </w:tcMar>
          </w:tcPr>
          <w:p w:rsidR="00572F9C" w:rsidRPr="00AA6AB1" w:rsidRDefault="00572F9C" w:rsidP="00B86B61">
            <w:pPr>
              <w:pStyle w:val="ekvtabelle"/>
            </w:pPr>
            <w:r>
              <w:rPr>
                <w:rFonts w:eastAsia="Calibri"/>
              </w:rPr>
              <w:t>Comenius (Schüler), Leonardo da Vinci (Auszubildende, Arbeitnehmer), Grundtvig (Arbeitnehmer/</w:t>
            </w:r>
            <w:r>
              <w:rPr>
                <w:rFonts w:eastAsia="Calibri"/>
              </w:rPr>
              <w:br/>
              <w:t>andere Erwachsene), Erasmus (Studenten/Beschäftigte an Hochschulen).</w:t>
            </w:r>
          </w:p>
        </w:tc>
      </w:tr>
      <w:tr w:rsidR="00E35123" w:rsidRPr="00AA6AB1" w:rsidTr="0070288D">
        <w:tc>
          <w:tcPr>
            <w:tcW w:w="851" w:type="dxa"/>
            <w:tcBorders>
              <w:bottom w:val="single" w:sz="6" w:space="0" w:color="000000"/>
            </w:tcBorders>
            <w:shd w:val="clear" w:color="auto" w:fill="auto"/>
          </w:tcPr>
          <w:p w:rsidR="00E35123" w:rsidRPr="00AA6AB1" w:rsidRDefault="00572F9C" w:rsidP="0062552D">
            <w:pPr>
              <w:pStyle w:val="ekvtabelle"/>
              <w:rPr>
                <w:b/>
              </w:rPr>
            </w:pPr>
            <w:r>
              <w:rPr>
                <w:b/>
              </w:rPr>
              <w:t>10.</w:t>
            </w:r>
          </w:p>
        </w:tc>
        <w:tc>
          <w:tcPr>
            <w:tcW w:w="8505" w:type="dxa"/>
            <w:tcBorders>
              <w:bottom w:val="single" w:sz="6" w:space="0" w:color="000000"/>
            </w:tcBorders>
            <w:shd w:val="clear" w:color="auto" w:fill="auto"/>
            <w:tcMar>
              <w:left w:w="113" w:type="dxa"/>
            </w:tcMar>
          </w:tcPr>
          <w:p w:rsidR="00E35123" w:rsidRPr="00572F9C" w:rsidRDefault="00572F9C" w:rsidP="0070288D">
            <w:pPr>
              <w:pStyle w:val="ekvtabelle"/>
              <w:rPr>
                <w:i/>
              </w:rPr>
            </w:pPr>
            <w:r w:rsidRPr="00572F9C">
              <w:rPr>
                <w:i/>
              </w:rPr>
              <w:t>individuelle Lösungen</w:t>
            </w:r>
          </w:p>
        </w:tc>
      </w:tr>
    </w:tbl>
    <w:p w:rsidR="00166019" w:rsidRDefault="00166019" w:rsidP="004B17DA"/>
    <w:sectPr w:rsidR="00166019" w:rsidSect="00EC1FF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123" w:rsidRDefault="00E35123" w:rsidP="003C599D">
      <w:pPr>
        <w:spacing w:line="240" w:lineRule="auto"/>
      </w:pPr>
      <w:r>
        <w:separator/>
      </w:r>
    </w:p>
  </w:endnote>
  <w:endnote w:type="continuationSeparator" w:id="0">
    <w:p w:rsidR="00E35123" w:rsidRDefault="00E35123"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123" w:rsidRDefault="00E3512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193A18" w:rsidRPr="00F42294" w:rsidTr="00503EE6">
      <w:trPr>
        <w:trHeight w:hRule="exact" w:val="680"/>
      </w:trPr>
      <w:tc>
        <w:tcPr>
          <w:tcW w:w="864" w:type="dxa"/>
          <w:noWrap/>
        </w:tcPr>
        <w:p w:rsidR="00193A18" w:rsidRPr="00913892" w:rsidRDefault="00193A18" w:rsidP="005E4C30">
          <w:pPr>
            <w:pStyle w:val="ekvpaginabild"/>
            <w:jc w:val="both"/>
          </w:pPr>
          <w:r w:rsidRPr="00913892">
            <w:rPr>
              <w:lang w:eastAsia="de-DE"/>
            </w:rPr>
            <w:drawing>
              <wp:inline distT="0" distB="0" distL="0" distR="0" wp14:anchorId="395D4B88" wp14:editId="4B276E7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193A18" w:rsidRPr="00913892" w:rsidRDefault="00193A18" w:rsidP="00E35123">
          <w:pPr>
            <w:pStyle w:val="ekvpagina"/>
          </w:pPr>
          <w:r w:rsidRPr="00913892">
            <w:t>© Ernst Klett Verlag GmbH, Stuttgart 201</w:t>
          </w:r>
          <w:r w:rsidR="00E35123">
            <w:t>9</w:t>
          </w:r>
          <w:r w:rsidRPr="00913892">
            <w:t xml:space="preserve"> | www.klett.de | Alle Rechte vorbehalten. Von dieser Druckvorlage ist die Vervielfältigung für den</w:t>
          </w:r>
          <w:r w:rsidR="00503EE6">
            <w:t xml:space="preserve"> </w:t>
          </w:r>
          <w:r w:rsidRPr="00913892">
            <w:t>eigenen</w:t>
          </w:r>
          <w:r w:rsidR="00503EE6">
            <w:t xml:space="preserve"> </w:t>
          </w:r>
          <w:r w:rsidRPr="00913892">
            <w:t>Unterrichtsgebrauch gestattet. Die Kopiergebühren sind abgegolten.</w:t>
          </w:r>
        </w:p>
      </w:tc>
      <w:tc>
        <w:tcPr>
          <w:tcW w:w="5753" w:type="dxa"/>
          <w:noWrap/>
        </w:tcPr>
        <w:p w:rsidR="00193A18" w:rsidRPr="00913892" w:rsidRDefault="00E35123" w:rsidP="004136AD">
          <w:pPr>
            <w:pStyle w:val="ekvquelle"/>
          </w:pPr>
          <w:r w:rsidRPr="0079192C">
            <w:rPr>
              <w:b/>
            </w:rPr>
            <w:t>Autor</w:t>
          </w:r>
          <w:r>
            <w:rPr>
              <w:b/>
            </w:rPr>
            <w:t>en</w:t>
          </w:r>
          <w:r w:rsidRPr="0079192C">
            <w:t xml:space="preserve">: </w:t>
          </w:r>
          <w:r>
            <w:t xml:space="preserve">Petrer Nabholz, Eningen; </w:t>
          </w:r>
          <w:r w:rsidRPr="00F5208C">
            <w:t>Wilhelm Overkamp</w:t>
          </w:r>
          <w:r>
            <w:t>, Bocholt</w:t>
          </w:r>
        </w:p>
      </w:tc>
      <w:tc>
        <w:tcPr>
          <w:tcW w:w="813" w:type="dxa"/>
        </w:tcPr>
        <w:p w:rsidR="00193A18" w:rsidRPr="00913892" w:rsidRDefault="00193A18" w:rsidP="00913892">
          <w:pPr>
            <w:pStyle w:val="ekvpagina"/>
          </w:pPr>
        </w:p>
      </w:tc>
    </w:tr>
  </w:tbl>
  <w:p w:rsidR="00193A18" w:rsidRDefault="00193A1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123" w:rsidRDefault="00E3512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123" w:rsidRDefault="00E35123" w:rsidP="003C599D">
      <w:pPr>
        <w:spacing w:line="240" w:lineRule="auto"/>
      </w:pPr>
      <w:r>
        <w:separator/>
      </w:r>
    </w:p>
  </w:footnote>
  <w:footnote w:type="continuationSeparator" w:id="0">
    <w:p w:rsidR="00E35123" w:rsidRDefault="00E35123"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123" w:rsidRDefault="00E3512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123" w:rsidRDefault="00E3512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123" w:rsidRDefault="00E3512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123"/>
    <w:rsid w:val="000040E2"/>
    <w:rsid w:val="0001210D"/>
    <w:rsid w:val="00014D7E"/>
    <w:rsid w:val="0002009E"/>
    <w:rsid w:val="00020440"/>
    <w:rsid w:val="000307B4"/>
    <w:rsid w:val="00035074"/>
    <w:rsid w:val="00037566"/>
    <w:rsid w:val="00043523"/>
    <w:rsid w:val="000520A2"/>
    <w:rsid w:val="000523D4"/>
    <w:rsid w:val="00053B2F"/>
    <w:rsid w:val="00054678"/>
    <w:rsid w:val="00054A93"/>
    <w:rsid w:val="0006258C"/>
    <w:rsid w:val="00062D31"/>
    <w:rsid w:val="000779C3"/>
    <w:rsid w:val="000812E6"/>
    <w:rsid w:val="00090AB2"/>
    <w:rsid w:val="000928AA"/>
    <w:rsid w:val="00092E87"/>
    <w:rsid w:val="000939F5"/>
    <w:rsid w:val="00094F01"/>
    <w:rsid w:val="000A4BD4"/>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43C1"/>
    <w:rsid w:val="002B64EA"/>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2107E"/>
    <w:rsid w:val="004236D5"/>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66C3"/>
    <w:rsid w:val="004A66CF"/>
    <w:rsid w:val="004B17DA"/>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200E"/>
    <w:rsid w:val="00572A0F"/>
    <w:rsid w:val="00572F9C"/>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552D"/>
    <w:rsid w:val="00627765"/>
    <w:rsid w:val="00627A02"/>
    <w:rsid w:val="0064692C"/>
    <w:rsid w:val="00653F68"/>
    <w:rsid w:val="006802C4"/>
    <w:rsid w:val="0068429A"/>
    <w:rsid w:val="00685FDD"/>
    <w:rsid w:val="006912DC"/>
    <w:rsid w:val="00693676"/>
    <w:rsid w:val="006A5611"/>
    <w:rsid w:val="006A71DE"/>
    <w:rsid w:val="006A76D7"/>
    <w:rsid w:val="006B2D23"/>
    <w:rsid w:val="006B3EF4"/>
    <w:rsid w:val="006B6247"/>
    <w:rsid w:val="006C4E52"/>
    <w:rsid w:val="006C6A77"/>
    <w:rsid w:val="006D1F6D"/>
    <w:rsid w:val="006D45BB"/>
    <w:rsid w:val="006D49F0"/>
    <w:rsid w:val="006D7F2E"/>
    <w:rsid w:val="006E235E"/>
    <w:rsid w:val="006E6A74"/>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65F6"/>
    <w:rsid w:val="00AF053E"/>
    <w:rsid w:val="00B00587"/>
    <w:rsid w:val="00B039E8"/>
    <w:rsid w:val="00B14B45"/>
    <w:rsid w:val="00B155E8"/>
    <w:rsid w:val="00B15F75"/>
    <w:rsid w:val="00B2194E"/>
    <w:rsid w:val="00B31F29"/>
    <w:rsid w:val="00B32DAF"/>
    <w:rsid w:val="00B3499A"/>
    <w:rsid w:val="00B37E68"/>
    <w:rsid w:val="00B468CC"/>
    <w:rsid w:val="00B52FB3"/>
    <w:rsid w:val="00B54655"/>
    <w:rsid w:val="00B6045F"/>
    <w:rsid w:val="00B60BEA"/>
    <w:rsid w:val="00B7242A"/>
    <w:rsid w:val="00B8071F"/>
    <w:rsid w:val="00B82B4E"/>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736D"/>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5123"/>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7542"/>
    <w:rsid w:val="00EB2280"/>
    <w:rsid w:val="00EC1621"/>
    <w:rsid w:val="00EC1FF0"/>
    <w:rsid w:val="00EC662E"/>
    <w:rsid w:val="00ED07FE"/>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E35123"/>
    <w:rPr>
      <w:rFonts w:ascii="Arial" w:hAnsi="Arial"/>
      <w:sz w:val="19"/>
      <w:szCs w:val="2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E35123"/>
    <w:rPr>
      <w:rFonts w:ascii="Arial" w:hAnsi="Arial"/>
      <w:sz w:val="19"/>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64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genfe\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2</cp:revision>
  <cp:lastPrinted>2016-12-23T16:36:00Z</cp:lastPrinted>
  <dcterms:created xsi:type="dcterms:W3CDTF">2019-07-03T10:19:00Z</dcterms:created>
  <dcterms:modified xsi:type="dcterms:W3CDTF">2019-07-03T10:19:00Z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 Version</vt:lpwstr>
  </property>
</Properties>
</file>