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81EBD">
            <w:pPr>
              <w:pStyle w:val="ekvkvnummer"/>
            </w:pPr>
            <w:r w:rsidRPr="007C1230">
              <w:t xml:space="preserve">KV </w:t>
            </w:r>
            <w:r w:rsidR="004E68E1">
              <w:t>02</w:t>
            </w:r>
            <w:r w:rsidR="00005975">
              <w:t>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4E68E1" w:rsidP="009078CB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166019" w:rsidRDefault="00EF7478" w:rsidP="00EF7478">
      <w:pPr>
        <w:pStyle w:val="ekvue2arial"/>
      </w:pPr>
      <w:bookmarkStart w:id="0" w:name="bmStart"/>
      <w:bookmarkEnd w:id="0"/>
      <w:r w:rsidRPr="00EF7478">
        <w:t>Berufliche Lebensplanung</w:t>
      </w:r>
    </w:p>
    <w:p w:rsidR="00EA7A67" w:rsidRDefault="00EA7A67" w:rsidP="00EA7A67"/>
    <w:tbl>
      <w:tblPr>
        <w:tblW w:w="9356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8789"/>
      </w:tblGrid>
      <w:tr w:rsidR="00EA7A67" w:rsidRPr="003C39DC" w:rsidTr="004675BD">
        <w:trPr>
          <w:trHeight w:val="284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EA7A67" w:rsidRPr="0081389B" w:rsidRDefault="00EA7A67" w:rsidP="004675BD">
            <w:pPr>
              <w:rPr>
                <w:rStyle w:val="ekvfett"/>
              </w:rPr>
            </w:pPr>
            <w:r w:rsidRPr="00A34549">
              <w:rPr>
                <w:rStyle w:val="ekvfett"/>
                <w:color w:val="FFFFFF" w:themeColor="background1"/>
                <w:highlight w:val="darkGray"/>
              </w:rPr>
              <w:t>M1</w:t>
            </w:r>
          </w:p>
        </w:tc>
        <w:tc>
          <w:tcPr>
            <w:tcW w:w="8787" w:type="dxa"/>
            <w:tcBorders>
              <w:bottom w:val="single" w:sz="8" w:space="0" w:color="333333"/>
            </w:tcBorders>
            <w:shd w:val="clear" w:color="auto" w:fill="FFFFFF" w:themeFill="background1"/>
          </w:tcPr>
          <w:p w:rsidR="00EA7A67" w:rsidRPr="0081389B" w:rsidRDefault="00EA7A67" w:rsidP="004675BD">
            <w:pPr>
              <w:rPr>
                <w:rStyle w:val="ekvfett"/>
              </w:rPr>
            </w:pPr>
            <w:r>
              <w:rPr>
                <w:rStyle w:val="ekvfett"/>
              </w:rPr>
              <w:t>Qualifikationsspezifische Arbeitslosenquote in Deutschland 1975 bis 2017</w:t>
            </w:r>
          </w:p>
        </w:tc>
      </w:tr>
      <w:tr w:rsidR="00EA7A67" w:rsidRPr="003C39DC" w:rsidTr="004675BD">
        <w:trPr>
          <w:trHeight w:val="284"/>
        </w:trPr>
        <w:tc>
          <w:tcPr>
            <w:tcW w:w="9356" w:type="dxa"/>
            <w:gridSpan w:val="2"/>
            <w:tcBorders>
              <w:top w:val="single" w:sz="8" w:space="0" w:color="333333"/>
              <w:bottom w:val="single" w:sz="4" w:space="0" w:color="333333"/>
            </w:tcBorders>
          </w:tcPr>
          <w:p w:rsidR="00EA7A67" w:rsidRDefault="00827E50" w:rsidP="00827E50">
            <w:pPr>
              <w:pStyle w:val="ekvgrundtexthalbe"/>
              <w:rPr>
                <w:rStyle w:val="ekvfett"/>
                <w:b w:val="0"/>
              </w:rPr>
            </w:pPr>
            <w:bookmarkStart w:id="1" w:name="_GoBack"/>
            <w:r>
              <w:rPr>
                <w:b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AB7657B" wp14:editId="48BCF7E0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-635</wp:posOffset>
                  </wp:positionV>
                  <wp:extent cx="5473700" cy="39497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lgenfe\Downloads\RO-9I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0" cy="394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80585F" w:rsidRDefault="0080585F" w:rsidP="0080585F">
            <w:pPr>
              <w:pStyle w:val="ekvbildlegende"/>
            </w:pPr>
            <w:r w:rsidRPr="005B15DD">
              <w:t>Lesebeispiel: 17,9 % der Erwerbstätigen ohne Berufsabschluss waren 2017 in Deutschland arbeitslos.</w:t>
            </w:r>
          </w:p>
          <w:p w:rsidR="008E16B2" w:rsidRPr="00EA7A67" w:rsidRDefault="008E16B2" w:rsidP="00807FC5">
            <w:pPr>
              <w:pStyle w:val="ekvgrundtexthalbe"/>
              <w:rPr>
                <w:rStyle w:val="ekvfett"/>
                <w:b w:val="0"/>
              </w:rPr>
            </w:pPr>
          </w:p>
        </w:tc>
      </w:tr>
    </w:tbl>
    <w:p w:rsidR="00EA7A67" w:rsidRDefault="00EA7A67" w:rsidP="00EA7A67">
      <w:pPr>
        <w:pStyle w:val="ekvbildlegende"/>
      </w:pPr>
      <w:r w:rsidRPr="005B15DD">
        <w:t>Quelle: Institut für Arbeitsmarkt- und Berufsforschung: Qualifikationsspezifi</w:t>
      </w:r>
      <w:r>
        <w:t>sche Arbeitslosenquoten, 15. No</w:t>
      </w:r>
      <w:r w:rsidRPr="005B15DD">
        <w:t>vember 2018</w:t>
      </w:r>
    </w:p>
    <w:p w:rsidR="00EA7A67" w:rsidRDefault="00EA7A67" w:rsidP="00EA7A67"/>
    <w:tbl>
      <w:tblPr>
        <w:tblW w:w="11000" w:type="dxa"/>
        <w:tblInd w:w="-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12"/>
        <w:gridCol w:w="3744"/>
        <w:gridCol w:w="1321"/>
        <w:gridCol w:w="2041"/>
        <w:gridCol w:w="1511"/>
        <w:gridCol w:w="570"/>
        <w:gridCol w:w="167"/>
        <w:gridCol w:w="716"/>
      </w:tblGrid>
      <w:tr w:rsidR="00EA7A67" w:rsidRPr="00827E50" w:rsidTr="00005975">
        <w:trPr>
          <w:gridBefore w:val="2"/>
          <w:gridAfter w:val="1"/>
          <w:wBefore w:w="930" w:type="dxa"/>
          <w:wAfter w:w="716" w:type="dxa"/>
          <w:trHeight w:val="284"/>
        </w:trPr>
        <w:tc>
          <w:tcPr>
            <w:tcW w:w="8617" w:type="dxa"/>
            <w:gridSpan w:val="4"/>
            <w:tcBorders>
              <w:right w:val="single" w:sz="4" w:space="0" w:color="333333"/>
            </w:tcBorders>
            <w:shd w:val="clear" w:color="auto" w:fill="FFFFFF" w:themeFill="background1"/>
          </w:tcPr>
          <w:p w:rsidR="00EA7A67" w:rsidRPr="005B15DD" w:rsidRDefault="00EA7A67" w:rsidP="004675BD">
            <w:pPr>
              <w:pStyle w:val="ekvaufzhlung"/>
            </w:pPr>
            <w:r w:rsidRPr="001330E1">
              <w:rPr>
                <w:b/>
                <w:bCs/>
              </w:rPr>
              <w:t>1.</w:t>
            </w:r>
            <w:r w:rsidRPr="005B15DD">
              <w:tab/>
              <w:t>a)</w:t>
            </w:r>
            <w:r w:rsidRPr="005B15DD">
              <w:tab/>
              <w:t xml:space="preserve">Beschreiben Sie die Entwicklung der Arbeitslosenzahlen in Deutschland nach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</w:r>
            <w:r>
              <w:tab/>
            </w:r>
            <w:r>
              <w:tab/>
            </w:r>
            <w:r w:rsidRPr="005B15DD">
              <w:t>Qualifikation, wie sie in der Grafik</w:t>
            </w:r>
            <w:r>
              <w:t xml:space="preserve"> </w:t>
            </w:r>
            <w:r w:rsidRPr="00A34549">
              <w:rPr>
                <w:rStyle w:val="ekvfett"/>
                <w:color w:val="FFFFFF" w:themeColor="background1"/>
                <w:highlight w:val="darkGray"/>
              </w:rPr>
              <w:t>M1</w:t>
            </w:r>
            <w:r>
              <w:t xml:space="preserve"> </w:t>
            </w:r>
            <w:r w:rsidRPr="005B15DD">
              <w:t xml:space="preserve">dargestellt ist. Berücksichtigen Sie dabei auch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</w:r>
            <w:r>
              <w:tab/>
            </w:r>
            <w:r>
              <w:tab/>
            </w:r>
            <w:r w:rsidRPr="005B15DD">
              <w:t xml:space="preserve">folgende Zusatzinformation: Die Arbeitslosenquote von Meistern, Technikern und nach </w:t>
            </w:r>
            <w:r>
              <w:tab/>
            </w:r>
            <w:r>
              <w:tab/>
            </w:r>
            <w:r>
              <w:tab/>
            </w:r>
            <w:r w:rsidRPr="005B15DD">
              <w:t>Besuch einer Fachschule ist im gesamten Zeitr</w:t>
            </w:r>
            <w:r>
              <w:t xml:space="preserve">aum der Statistik etwa so hoch </w:t>
            </w:r>
            <w:r w:rsidRPr="005B15DD">
              <w:t xml:space="preserve">wie die nach </w:t>
            </w:r>
            <w:r>
              <w:tab/>
            </w:r>
            <w:r>
              <w:tab/>
            </w:r>
            <w:r>
              <w:tab/>
            </w:r>
            <w:r w:rsidRPr="005B15DD">
              <w:t>Hochschul-</w:t>
            </w:r>
            <w:r>
              <w:t xml:space="preserve"> </w:t>
            </w:r>
            <w:r w:rsidRPr="005B15DD">
              <w:t>oder Fachhochschulstudium.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  <w:t>b)</w:t>
            </w:r>
            <w:r w:rsidRPr="005B15DD">
              <w:tab/>
              <w:t xml:space="preserve">Erläutern Sie zwei Ursachen für den in der Grafik dargestellten Sachverhalt.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  <w:t>c)</w:t>
            </w:r>
            <w:r w:rsidRPr="005B15DD">
              <w:tab/>
              <w:t xml:space="preserve">Erörtern Sie auf Grundlage der genannten Daten vier Möglichkeiten, die Sie haben,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</w:r>
            <w:r>
              <w:tab/>
            </w:r>
            <w:r>
              <w:tab/>
            </w:r>
            <w:r w:rsidRPr="005B15DD">
              <w:t>Ihr persönliches Risiko von Arbeitslosigkeit zu verringern.</w:t>
            </w:r>
          </w:p>
          <w:p w:rsidR="00EA7A67" w:rsidRPr="005B15DD" w:rsidRDefault="00EA7A67" w:rsidP="004675BD">
            <w:pPr>
              <w:pStyle w:val="ekvaufzhlung"/>
            </w:pPr>
          </w:p>
          <w:p w:rsidR="00EA7A67" w:rsidRPr="005B15DD" w:rsidRDefault="00EA7A67" w:rsidP="004675BD">
            <w:pPr>
              <w:pStyle w:val="ekvaufzhlung"/>
            </w:pPr>
            <w:r w:rsidRPr="001330E1">
              <w:rPr>
                <w:b/>
                <w:bCs/>
              </w:rPr>
              <w:t>2.</w:t>
            </w:r>
            <w:r w:rsidRPr="005B15DD">
              <w:tab/>
              <w:t>Unter den Langzeitarbeitslosen (= länger als ein Jahr arbeitslo</w:t>
            </w:r>
            <w:r>
              <w:t>s) befinden sich be</w:t>
            </w:r>
            <w:r w:rsidRPr="005B15DD">
              <w:t xml:space="preserve">sonders viele Menschen ohne Berufsausbildung.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  <w:t>a)</w:t>
            </w:r>
            <w:r w:rsidRPr="005B15DD">
              <w:tab/>
              <w:t xml:space="preserve">Begründen Sie, warum das so ist.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  <w:t>b)</w:t>
            </w:r>
            <w:r w:rsidRPr="005B15DD">
              <w:tab/>
              <w:t xml:space="preserve">Entwickeln Sie eine Maßnahme, um diese Gruppe wieder dem Arbeitsmarkt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</w:r>
            <w:r>
              <w:tab/>
            </w:r>
            <w:r>
              <w:tab/>
            </w:r>
            <w:r w:rsidRPr="005B15DD">
              <w:t>zuzuführen.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  <w:t>c)</w:t>
            </w:r>
            <w:r w:rsidRPr="005B15DD">
              <w:tab/>
              <w:t xml:space="preserve">Stellen Sie dar, welche Leistungen die Arbeitslosenversicherung für Arbeitslose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</w:r>
            <w:r>
              <w:tab/>
            </w:r>
            <w:r>
              <w:tab/>
            </w:r>
            <w:r w:rsidRPr="005B15DD">
              <w:t>erbringt und welche Bedingungen dafür erfüllt sein müssen.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  <w:t>d)</w:t>
            </w:r>
            <w:r w:rsidRPr="005B15DD">
              <w:tab/>
              <w:t xml:space="preserve">Auch Arbeitslose, die keine Leistungen der Arbeitslosenversicherung erhalten, haben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</w:r>
            <w:r>
              <w:tab/>
            </w:r>
            <w:r>
              <w:tab/>
            </w:r>
            <w:r w:rsidRPr="005B15DD">
              <w:t xml:space="preserve">unter Umständen Anspruch auf staatliche Unterstützung. Nennen Sie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</w:r>
            <w:r w:rsidRPr="005B15DD">
              <w:tab/>
              <w:t xml:space="preserve">– den Namen der Leistung, die sie erhalten, </w:t>
            </w:r>
          </w:p>
          <w:p w:rsidR="00EA7A67" w:rsidRPr="005B15DD" w:rsidRDefault="00EA7A67" w:rsidP="004675BD">
            <w:pPr>
              <w:pStyle w:val="ekvaufzhlung"/>
            </w:pPr>
            <w:r w:rsidRPr="005B15DD">
              <w:tab/>
            </w:r>
            <w:r w:rsidRPr="005B15DD">
              <w:tab/>
              <w:t xml:space="preserve">– die Bedingungen, die erfüllt sein müssen, und </w:t>
            </w:r>
          </w:p>
          <w:p w:rsidR="00EA7A67" w:rsidRPr="003C39DC" w:rsidRDefault="00EA7A67" w:rsidP="0080585F">
            <w:pPr>
              <w:pStyle w:val="ekvaufzhlung"/>
            </w:pPr>
            <w:r w:rsidRPr="005B15DD">
              <w:tab/>
            </w:r>
            <w:r w:rsidRPr="005B15DD">
              <w:tab/>
              <w:t>– die Grundsätze, nach denen die Leistung ausbezahlt wird.</w:t>
            </w:r>
          </w:p>
        </w:tc>
        <w:tc>
          <w:tcPr>
            <w:tcW w:w="737" w:type="dxa"/>
            <w:gridSpan w:val="2"/>
            <w:tcBorders>
              <w:left w:val="single" w:sz="4" w:space="0" w:color="333333"/>
            </w:tcBorders>
            <w:shd w:val="clear" w:color="auto" w:fill="FFFFFF" w:themeFill="background1"/>
          </w:tcPr>
          <w:p w:rsidR="00EA7A67" w:rsidRPr="00A34549" w:rsidRDefault="00EA7A67" w:rsidP="004675BD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3 P.</w:t>
            </w: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4 P.</w:t>
            </w: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4 P.</w:t>
            </w: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2 P.</w:t>
            </w: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3 P.</w:t>
            </w: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3 P.</w:t>
            </w: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4 P.</w:t>
            </w: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jc w:val="center"/>
              <w:rPr>
                <w:lang w:val="en-GB"/>
              </w:rPr>
            </w:pPr>
          </w:p>
          <w:p w:rsidR="00EA7A67" w:rsidRPr="00A34549" w:rsidRDefault="00EA7A67" w:rsidP="004675BD">
            <w:pPr>
              <w:pStyle w:val="ekvgrundtexthalbe"/>
              <w:rPr>
                <w:lang w:val="en-GB"/>
              </w:rPr>
            </w:pPr>
          </w:p>
        </w:tc>
      </w:tr>
      <w:tr w:rsidR="00827E50" w:rsidRPr="00C172AE" w:rsidTr="00005975">
        <w:tblPrEx>
          <w:tblBorders>
            <w:insideH w:val="single" w:sz="8" w:space="0" w:color="808080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27E50" w:rsidRPr="00AE65F6" w:rsidRDefault="00827E50" w:rsidP="00F673A5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E50" w:rsidRPr="007C1230" w:rsidRDefault="00827E50" w:rsidP="00F673A5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E50" w:rsidRPr="007C1230" w:rsidRDefault="00827E50" w:rsidP="00F673A5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E50" w:rsidRPr="007C1230" w:rsidRDefault="00827E50" w:rsidP="00F673A5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E50" w:rsidRPr="007C1230" w:rsidRDefault="00827E50" w:rsidP="00F673A5">
            <w:pPr>
              <w:pStyle w:val="ekvkvnummer"/>
            </w:pPr>
            <w:r w:rsidRPr="007C1230">
              <w:t xml:space="preserve">KV </w:t>
            </w:r>
            <w:r>
              <w:t>02</w:t>
            </w:r>
            <w:r w:rsidR="00005975">
              <w:t>b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27E50" w:rsidRPr="007636A0" w:rsidRDefault="00827E50" w:rsidP="00F673A5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827E50" w:rsidRPr="00827E50" w:rsidTr="00005975">
        <w:tblPrEx>
          <w:tblBorders>
            <w:insideH w:val="single" w:sz="8" w:space="0" w:color="808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827E50" w:rsidRPr="00BF17F2" w:rsidRDefault="00827E50" w:rsidP="00F673A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8"/>
            <w:tcBorders>
              <w:left w:val="nil"/>
              <w:bottom w:val="nil"/>
            </w:tcBorders>
            <w:noWrap/>
            <w:vAlign w:val="bottom"/>
          </w:tcPr>
          <w:p w:rsidR="00827E50" w:rsidRPr="00827E50" w:rsidRDefault="00827E50" w:rsidP="00F673A5">
            <w:pPr>
              <w:rPr>
                <w:color w:val="FFFFFF" w:themeColor="background1"/>
                <w:lang w:val="en-US"/>
              </w:rPr>
            </w:pPr>
          </w:p>
        </w:tc>
      </w:tr>
      <w:tr w:rsidR="00827E50" w:rsidRPr="00827E50" w:rsidTr="00005975">
        <w:trPr>
          <w:gridBefore w:val="2"/>
          <w:gridAfter w:val="1"/>
          <w:wBefore w:w="930" w:type="dxa"/>
          <w:wAfter w:w="716" w:type="dxa"/>
          <w:trHeight w:val="284"/>
        </w:trPr>
        <w:tc>
          <w:tcPr>
            <w:tcW w:w="8617" w:type="dxa"/>
            <w:gridSpan w:val="4"/>
            <w:tcBorders>
              <w:bottom w:val="single" w:sz="4" w:space="0" w:color="auto"/>
              <w:right w:val="single" w:sz="4" w:space="0" w:color="333333"/>
            </w:tcBorders>
            <w:shd w:val="clear" w:color="auto" w:fill="FFFFFF" w:themeFill="background1"/>
          </w:tcPr>
          <w:p w:rsidR="00827E50" w:rsidRPr="005B15DD" w:rsidRDefault="00827E50" w:rsidP="00F673A5">
            <w:pPr>
              <w:pStyle w:val="ekvaufzhlung"/>
            </w:pPr>
            <w:r w:rsidRPr="001330E1">
              <w:rPr>
                <w:b/>
                <w:bCs/>
              </w:rPr>
              <w:t>3.</w:t>
            </w:r>
            <w:r w:rsidRPr="005B15DD">
              <w:tab/>
              <w:t xml:space="preserve">Von den 18- bis 24-jährigen Erwerbstätigen, die eine duale Ausbildung gemacht haben, arbeitet nur noch die Hälfte im erlernten Beruf. Über 30 % arbeiten in verwandten, d. h. ähnlichen Berufen. Knapp 20 % machen etwas völlig anderes. Im Handwerk ist der Wechsel häufiger als in der Industrie. </w:t>
            </w:r>
          </w:p>
          <w:p w:rsidR="00827E50" w:rsidRPr="005B15DD" w:rsidRDefault="00827E50" w:rsidP="00F673A5">
            <w:pPr>
              <w:pStyle w:val="ekvaufzhlung"/>
            </w:pPr>
            <w:r w:rsidRPr="005B15DD">
              <w:tab/>
              <w:t>a)</w:t>
            </w:r>
            <w:r w:rsidRPr="005B15DD">
              <w:tab/>
              <w:t xml:space="preserve">Nennen Sie zwei Gründe für den Wechsel in verwandte oder andere Berufe. </w:t>
            </w:r>
          </w:p>
          <w:p w:rsidR="00827E50" w:rsidRPr="005B15DD" w:rsidRDefault="00827E50" w:rsidP="00F673A5">
            <w:pPr>
              <w:pStyle w:val="ekvaufzhlung"/>
            </w:pPr>
            <w:r w:rsidRPr="005B15DD">
              <w:tab/>
              <w:t>b)</w:t>
            </w:r>
            <w:r w:rsidRPr="005B15DD">
              <w:tab/>
              <w:t xml:space="preserve">Berufliche Veränderungen können ein Aufstieg, </w:t>
            </w:r>
            <w:r>
              <w:t>aber auch ein Abstieg sein. Zei</w:t>
            </w:r>
            <w:r w:rsidRPr="005B15DD">
              <w:t xml:space="preserve">gen </w:t>
            </w:r>
          </w:p>
          <w:p w:rsidR="00827E50" w:rsidRPr="005B15DD" w:rsidRDefault="00827E50" w:rsidP="00F673A5">
            <w:pPr>
              <w:pStyle w:val="ekvaufzhlung"/>
            </w:pPr>
            <w:r w:rsidRPr="005B15DD">
              <w:tab/>
            </w:r>
            <w:r>
              <w:tab/>
            </w:r>
            <w:r>
              <w:tab/>
            </w:r>
            <w:r w:rsidRPr="005B15DD">
              <w:t>Sie dies jeweils an einem Beispiel für Aufstieg und Abstieg.</w:t>
            </w:r>
          </w:p>
          <w:p w:rsidR="00827E50" w:rsidRPr="005B15DD" w:rsidRDefault="00827E50" w:rsidP="00F673A5">
            <w:pPr>
              <w:pStyle w:val="ekvaufzhlung"/>
            </w:pPr>
            <w:r w:rsidRPr="005B15DD">
              <w:tab/>
              <w:t>c)</w:t>
            </w:r>
            <w:r w:rsidRPr="005B15DD">
              <w:tab/>
              <w:t xml:space="preserve">Erläutern Sie in diesem Zusammenhang die Bedeutung von Fortbildungen und </w:t>
            </w:r>
          </w:p>
          <w:p w:rsidR="00827E50" w:rsidRDefault="00827E50" w:rsidP="00F673A5">
            <w:pPr>
              <w:pStyle w:val="ekvaufzhlung"/>
            </w:pPr>
            <w:r w:rsidRPr="005B15DD">
              <w:tab/>
            </w:r>
            <w:r>
              <w:tab/>
            </w:r>
            <w:r>
              <w:tab/>
            </w:r>
            <w:r w:rsidRPr="005B15DD">
              <w:t>Umschulungen und grenzen Sie beide Maßnahmen gegeneinander ab.</w:t>
            </w:r>
          </w:p>
          <w:p w:rsidR="00827E50" w:rsidRPr="003C39DC" w:rsidRDefault="00827E50" w:rsidP="00F673A5">
            <w:pPr>
              <w:pStyle w:val="ekvgrundtexthalbe"/>
            </w:pPr>
          </w:p>
        </w:tc>
        <w:tc>
          <w:tcPr>
            <w:tcW w:w="737" w:type="dxa"/>
            <w:gridSpan w:val="2"/>
            <w:tcBorders>
              <w:left w:val="single" w:sz="4" w:space="0" w:color="333333"/>
              <w:bottom w:val="single" w:sz="4" w:space="0" w:color="auto"/>
            </w:tcBorders>
            <w:shd w:val="clear" w:color="auto" w:fill="FFFFFF" w:themeFill="background1"/>
          </w:tcPr>
          <w:p w:rsidR="00827E50" w:rsidRPr="00417C4D" w:rsidRDefault="00827E50" w:rsidP="00F673A5">
            <w:pPr>
              <w:jc w:val="center"/>
            </w:pPr>
          </w:p>
          <w:p w:rsidR="00827E50" w:rsidRPr="00417C4D" w:rsidRDefault="00827E50" w:rsidP="00F673A5">
            <w:pPr>
              <w:jc w:val="center"/>
            </w:pPr>
          </w:p>
          <w:p w:rsidR="00827E50" w:rsidRPr="00417C4D" w:rsidRDefault="00827E50" w:rsidP="00F673A5">
            <w:pPr>
              <w:jc w:val="center"/>
            </w:pPr>
          </w:p>
          <w:p w:rsidR="00827E50" w:rsidRPr="00417C4D" w:rsidRDefault="00827E50" w:rsidP="00F673A5">
            <w:pPr>
              <w:jc w:val="center"/>
            </w:pPr>
          </w:p>
          <w:p w:rsidR="00827E50" w:rsidRPr="00A34549" w:rsidRDefault="00827E50" w:rsidP="00F673A5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2 P.</w:t>
            </w:r>
          </w:p>
          <w:p w:rsidR="00827E50" w:rsidRPr="00A34549" w:rsidRDefault="00827E50" w:rsidP="00F673A5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2 P.</w:t>
            </w:r>
          </w:p>
          <w:p w:rsidR="00827E50" w:rsidRPr="00A34549" w:rsidRDefault="00827E50" w:rsidP="00F673A5">
            <w:pPr>
              <w:jc w:val="center"/>
              <w:rPr>
                <w:lang w:val="en-GB"/>
              </w:rPr>
            </w:pPr>
          </w:p>
          <w:p w:rsidR="00827E50" w:rsidRPr="00A34549" w:rsidRDefault="00827E50" w:rsidP="00F673A5">
            <w:pPr>
              <w:jc w:val="center"/>
              <w:rPr>
                <w:lang w:val="en-GB"/>
              </w:rPr>
            </w:pPr>
            <w:r w:rsidRPr="00A34549">
              <w:rPr>
                <w:lang w:val="en-GB"/>
              </w:rPr>
              <w:t>3 P.</w:t>
            </w:r>
          </w:p>
          <w:p w:rsidR="00827E50" w:rsidRDefault="00827E50" w:rsidP="00F673A5">
            <w:pPr>
              <w:rPr>
                <w:lang w:val="en-GB"/>
              </w:rPr>
            </w:pPr>
          </w:p>
          <w:p w:rsidR="00827E50" w:rsidRPr="00A34549" w:rsidRDefault="00827E50" w:rsidP="00F673A5">
            <w:pPr>
              <w:pStyle w:val="ekvgrundtexthalbe"/>
              <w:rPr>
                <w:lang w:val="en-GB"/>
              </w:rPr>
            </w:pPr>
          </w:p>
        </w:tc>
      </w:tr>
    </w:tbl>
    <w:p w:rsidR="00005975" w:rsidRPr="008E65C5" w:rsidRDefault="00005975" w:rsidP="00005975">
      <w:pPr>
        <w:jc w:val="right"/>
        <w:rPr>
          <w:lang w:val="en-US"/>
        </w:rPr>
      </w:pPr>
      <w:r>
        <w:t>Punkte: 30</w:t>
      </w:r>
    </w:p>
    <w:p w:rsidR="00827E50" w:rsidRPr="008E65C5" w:rsidRDefault="00827E50" w:rsidP="00827E50">
      <w:pPr>
        <w:rPr>
          <w:lang w:val="en-US"/>
        </w:rPr>
      </w:pPr>
    </w:p>
    <w:sectPr w:rsidR="00827E50" w:rsidRPr="008E65C5" w:rsidSect="00EC1FF0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6" w:rsidRDefault="00B83636" w:rsidP="003C599D">
      <w:pPr>
        <w:spacing w:line="240" w:lineRule="auto"/>
      </w:pPr>
      <w:r>
        <w:separator/>
      </w:r>
    </w:p>
  </w:endnote>
  <w:endnote w:type="continuationSeparator" w:id="0">
    <w:p w:rsidR="00B83636" w:rsidRDefault="00B8363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9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4467"/>
      <w:gridCol w:w="2098"/>
    </w:tblGrid>
    <w:tr w:rsidR="00193A18" w:rsidRPr="00F42294" w:rsidTr="00C1777A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9D30F10" wp14:editId="10F5AE9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AB230B">
          <w:pPr>
            <w:pStyle w:val="ekvpagina"/>
          </w:pPr>
          <w:r w:rsidRPr="00913892">
            <w:t>© Ernst Klett Verlag GmbH, Stuttgart 201</w:t>
          </w:r>
          <w:r w:rsidR="00AB230B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4467" w:type="dxa"/>
          <w:noWrap/>
        </w:tcPr>
        <w:p w:rsidR="00FB5F9A" w:rsidRPr="004136AD" w:rsidRDefault="00FB5F9A" w:rsidP="00FB5F9A">
          <w:pPr>
            <w:pStyle w:val="ekvquelle"/>
          </w:pPr>
          <w:r>
            <w:t>Autor</w:t>
          </w:r>
          <w:r w:rsidRPr="004136AD">
            <w:t xml:space="preserve">: </w:t>
          </w:r>
          <w:r>
            <w:t>Peter Nabholz</w:t>
          </w:r>
        </w:p>
        <w:p w:rsidR="00193A18" w:rsidRPr="00913892" w:rsidRDefault="00193A18" w:rsidP="002F7FD8">
          <w:pPr>
            <w:pStyle w:val="ekvquelle"/>
            <w:ind w:left="0"/>
          </w:pPr>
        </w:p>
      </w:tc>
      <w:tc>
        <w:tcPr>
          <w:tcW w:w="2098" w:type="dxa"/>
        </w:tcPr>
        <w:p w:rsidR="00356839" w:rsidRPr="00833130" w:rsidRDefault="00356839" w:rsidP="00356839">
          <w:pPr>
            <w:pStyle w:val="ekvpagina"/>
            <w:rPr>
              <w:b/>
              <w:bCs/>
            </w:rPr>
          </w:pPr>
          <w:r w:rsidRPr="00833130">
            <w:rPr>
              <w:b/>
              <w:bCs/>
            </w:rPr>
            <w:t xml:space="preserve">Klassenarbeitsvorschlag Kapitel </w:t>
          </w:r>
          <w:r>
            <w:rPr>
              <w:b/>
              <w:bCs/>
            </w:rPr>
            <w:t>4</w:t>
          </w:r>
        </w:p>
        <w:p w:rsidR="00193A18" w:rsidRPr="00913892" w:rsidRDefault="00356839" w:rsidP="00356839">
          <w:pPr>
            <w:pStyle w:val="ekvpagina"/>
          </w:pPr>
          <w:r>
            <w:t>Ausbildung und nachhaltige Existenzsicherung</w:t>
          </w: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6" w:rsidRDefault="00B83636" w:rsidP="003C599D">
      <w:pPr>
        <w:spacing w:line="240" w:lineRule="auto"/>
      </w:pPr>
      <w:r>
        <w:separator/>
      </w:r>
    </w:p>
  </w:footnote>
  <w:footnote w:type="continuationSeparator" w:id="0">
    <w:p w:rsidR="00B83636" w:rsidRDefault="00B83636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6"/>
    <w:rsid w:val="000040E2"/>
    <w:rsid w:val="00005975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155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2F7FD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6839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7C4D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660FA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E68E1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1C6D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0585F"/>
    <w:rsid w:val="00807FC5"/>
    <w:rsid w:val="00815A76"/>
    <w:rsid w:val="00816953"/>
    <w:rsid w:val="00816D4D"/>
    <w:rsid w:val="0082136B"/>
    <w:rsid w:val="00826DDD"/>
    <w:rsid w:val="008273B7"/>
    <w:rsid w:val="008277EF"/>
    <w:rsid w:val="00827E50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4C6A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16B2"/>
    <w:rsid w:val="008E4B7A"/>
    <w:rsid w:val="008E6248"/>
    <w:rsid w:val="008E65C5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230B"/>
    <w:rsid w:val="00AB5327"/>
    <w:rsid w:val="00AB58BA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01C7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3636"/>
    <w:rsid w:val="00B8420E"/>
    <w:rsid w:val="00B8442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77A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CF7AD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1EBD"/>
    <w:rsid w:val="00E95ED3"/>
    <w:rsid w:val="00EA7542"/>
    <w:rsid w:val="00EA7A67"/>
    <w:rsid w:val="00EB0774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EF7478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3B5"/>
    <w:rsid w:val="00F42F7B"/>
    <w:rsid w:val="00F459EB"/>
    <w:rsid w:val="00F4635A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5F9A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old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2019-07-25T06:51:00Z</dcterms:created>
  <dcterms:modified xsi:type="dcterms:W3CDTF">2019-07-25T10:07:00Z</dcterms:modified>
</cp:coreProperties>
</file>