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14:paraId="2B61D0A2" w14:textId="77777777" w:rsidTr="00B35D1C">
        <w:trPr>
          <w:trHeight w:hRule="exact" w:val="510"/>
        </w:trPr>
        <w:tc>
          <w:tcPr>
            <w:tcW w:w="819" w:type="dxa"/>
            <w:tcBorders>
              <w:top w:val="nil"/>
              <w:bottom w:val="nil"/>
              <w:right w:val="nil"/>
            </w:tcBorders>
            <w:noWrap/>
            <w:vAlign w:val="bottom"/>
          </w:tcPr>
          <w:p w14:paraId="1B0FE842" w14:textId="77777777" w:rsidR="00AA235C" w:rsidRPr="00AE65F6" w:rsidRDefault="00AA235C" w:rsidP="00946AE2">
            <w:pPr>
              <w:pageBreakBefore/>
              <w:rPr>
                <w:color w:val="FFFFFF" w:themeColor="background1"/>
              </w:rPr>
            </w:pPr>
            <w:bookmarkStart w:id="0" w:name="bmStart"/>
            <w:bookmarkEnd w:id="0"/>
          </w:p>
        </w:tc>
        <w:tc>
          <w:tcPr>
            <w:tcW w:w="3854" w:type="dxa"/>
            <w:tcBorders>
              <w:top w:val="nil"/>
              <w:left w:val="nil"/>
              <w:bottom w:val="nil"/>
              <w:right w:val="nil"/>
            </w:tcBorders>
            <w:noWrap/>
            <w:vAlign w:val="bottom"/>
          </w:tcPr>
          <w:p w14:paraId="4C4DFCE6" w14:textId="77777777"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14:paraId="66EBE3FC" w14:textId="77777777"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14:paraId="029631FD" w14:textId="77777777"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14:paraId="5708588D" w14:textId="77777777"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14:paraId="763A086A" w14:textId="77777777" w:rsidR="00AA235C" w:rsidRPr="007636A0" w:rsidRDefault="00AA235C" w:rsidP="00946AE2">
            <w:r>
              <w:t>Beispiel-</w:t>
            </w:r>
            <w:r>
              <w:br/>
              <w:t>lösung</w:t>
            </w:r>
          </w:p>
        </w:tc>
      </w:tr>
      <w:tr w:rsidR="00AA235C" w:rsidRPr="00BF17F2" w14:paraId="37B51DEA" w14:textId="77777777"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14:paraId="628D8FB8" w14:textId="77777777"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14:paraId="6BCF80E0" w14:textId="77777777" w:rsidR="00AA235C" w:rsidRPr="00BF17F2" w:rsidRDefault="00AA235C" w:rsidP="00946AE2">
            <w:pPr>
              <w:rPr>
                <w:color w:val="FFFFFF" w:themeColor="background1"/>
              </w:rPr>
            </w:pPr>
          </w:p>
        </w:tc>
        <w:tc>
          <w:tcPr>
            <w:tcW w:w="1666" w:type="dxa"/>
            <w:tcBorders>
              <w:top w:val="nil"/>
              <w:left w:val="nil"/>
              <w:bottom w:val="nil"/>
            </w:tcBorders>
          </w:tcPr>
          <w:p w14:paraId="128FF4F5" w14:textId="77777777" w:rsidR="00AA235C" w:rsidRPr="00B35D1C" w:rsidRDefault="00AA235C" w:rsidP="00946AE2">
            <w:r>
              <w:rPr>
                <w:noProof/>
                <w:lang w:eastAsia="de-DE"/>
              </w:rPr>
              <w:drawing>
                <wp:anchor distT="0" distB="0" distL="114300" distR="114300" simplePos="0" relativeHeight="251659264" behindDoc="1" locked="0" layoutInCell="1" allowOverlap="1" wp14:anchorId="05B27E80" wp14:editId="2BABAD72">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14:paraId="3A497BB7" w14:textId="77777777" w:rsidR="00503B3A" w:rsidRPr="00D7596B" w:rsidRDefault="00503B3A" w:rsidP="00503B3A">
      <w:pPr>
        <w:pStyle w:val="ekvue2arial"/>
      </w:pPr>
      <w:r w:rsidRPr="00D7596B">
        <w:t>Eine Helden- und Göttersage untersuchen</w:t>
      </w:r>
    </w:p>
    <w:p w14:paraId="301BEFED" w14:textId="77777777" w:rsidR="00503B3A" w:rsidRDefault="00503B3A" w:rsidP="00190108">
      <w:pPr>
        <w:pStyle w:val="ekvgrundtexthalbe"/>
      </w:pPr>
    </w:p>
    <w:p w14:paraId="3AD025C6" w14:textId="77777777" w:rsidR="00190108" w:rsidRPr="00D7596B" w:rsidRDefault="00190108" w:rsidP="00503B3A"/>
    <w:p w14:paraId="5E45EC21" w14:textId="77777777" w:rsidR="00503B3A" w:rsidRPr="00D7596B" w:rsidRDefault="00503B3A" w:rsidP="00503B3A">
      <w:pPr>
        <w:pStyle w:val="ekvaufzhlung"/>
        <w:ind w:right="1134"/>
      </w:pPr>
      <w:r w:rsidRPr="00D7596B">
        <w:rPr>
          <w:rStyle w:val="ekvnummerierung"/>
        </w:rPr>
        <w:t>1</w:t>
      </w:r>
      <w:r w:rsidRPr="00D7596B">
        <w:rPr>
          <w:rStyle w:val="ekvnummerierung"/>
        </w:rPr>
        <w:tab/>
      </w:r>
      <w:r w:rsidR="00DA1AEE" w:rsidRPr="00DA1AEE">
        <w:t>Weist nach, dass es sich bei dem folgenden Text um eine Helden- und Göttersage handelt.</w:t>
      </w:r>
    </w:p>
    <w:p w14:paraId="3B80879A" w14:textId="77777777" w:rsidR="00503B3A" w:rsidRPr="00D7596B" w:rsidRDefault="00503B3A" w:rsidP="00503B3A">
      <w:pPr>
        <w:pStyle w:val="ekvgrundtexthalbe"/>
      </w:pPr>
    </w:p>
    <w:p w14:paraId="4CDF0213" w14:textId="77777777" w:rsidR="00503B3A" w:rsidRPr="00D7596B" w:rsidRDefault="00DA1AEE" w:rsidP="00503B3A">
      <w:pPr>
        <w:ind w:left="340" w:right="1134"/>
        <w:rPr>
          <w:rStyle w:val="ekvlsung"/>
        </w:rPr>
      </w:pPr>
      <w:r w:rsidRPr="00DA1AEE">
        <w:rPr>
          <w:rStyle w:val="ekvlsung"/>
        </w:rPr>
        <w:t>Bei dem Text handelt es sich um eine Helden- und Göttersage, da der Held Herakles eine scheinbar unlösbare Aufgabe bewältigen soll. Außerdem tauchen Götter wie Hermes, Pluton und Hephaistos auf, die das Geschehen lenken. Durch fantastische Wesen wie den Höllenhund Kerberos oder die Gorgone Medusa wird deutlich, dass es sich um eine erfundene Erzählung handelt.</w:t>
      </w:r>
    </w:p>
    <w:p w14:paraId="225F78A8" w14:textId="77777777" w:rsidR="00503B3A" w:rsidRPr="00D7596B" w:rsidRDefault="00503B3A" w:rsidP="00503B3A">
      <w:pPr>
        <w:ind w:right="1134"/>
      </w:pPr>
    </w:p>
    <w:p w14:paraId="43A49222" w14:textId="77777777" w:rsidR="00503B3A" w:rsidRPr="00D7596B" w:rsidRDefault="00503B3A" w:rsidP="00503B3A">
      <w:pPr>
        <w:ind w:right="1134"/>
      </w:pPr>
    </w:p>
    <w:p w14:paraId="1B86F8AC" w14:textId="77777777" w:rsidR="00503B3A" w:rsidRPr="00D7596B" w:rsidRDefault="00DA1AEE" w:rsidP="00503B3A">
      <w:pPr>
        <w:pStyle w:val="ekvaufzhlung"/>
        <w:ind w:right="1134"/>
      </w:pPr>
      <w:r>
        <w:rPr>
          <w:rStyle w:val="ekvnummerierung"/>
        </w:rPr>
        <w:t>2</w:t>
      </w:r>
      <w:r w:rsidR="00503B3A" w:rsidRPr="00D7596B">
        <w:rPr>
          <w:rStyle w:val="ekvfett"/>
        </w:rPr>
        <w:tab/>
      </w:r>
      <w:r w:rsidRPr="00DA1AEE">
        <w:t>Erklärt, weshalb die von König Eurystheus gestellte Aufgabe unlösbar scheint.</w:t>
      </w:r>
    </w:p>
    <w:p w14:paraId="23FE9B8E" w14:textId="77777777" w:rsidR="00503B3A" w:rsidRPr="00D7596B" w:rsidRDefault="00503B3A" w:rsidP="00503B3A">
      <w:pPr>
        <w:pStyle w:val="ekvgrundtexthalbe"/>
        <w:ind w:right="1134"/>
      </w:pPr>
    </w:p>
    <w:p w14:paraId="79A24B7B" w14:textId="77777777" w:rsidR="00DA1AEE" w:rsidRPr="00DA1AEE" w:rsidRDefault="00DA1AEE" w:rsidP="00DA1AEE">
      <w:pPr>
        <w:ind w:left="340" w:right="1134"/>
        <w:rPr>
          <w:rStyle w:val="ekvlsung"/>
        </w:rPr>
      </w:pPr>
      <w:r w:rsidRPr="00DA1AEE">
        <w:rPr>
          <w:rStyle w:val="ekvlsung"/>
        </w:rPr>
        <w:t xml:space="preserve">Die Aufgabe gilt als unlösbar, da die Mächte der Unterwelt sehr stark sind und keine Heldenkraft Herakles nützen wird. Der Weg zu dem Höllenhund ist gefährlich und besitzt viele Hindernisse. Außerdem ist der Höllenhund sehr </w:t>
      </w:r>
      <w:r w:rsidR="00713EAC" w:rsidRPr="00713EAC">
        <w:rPr>
          <w:rStyle w:val="ekvlsung"/>
        </w:rPr>
        <w:t>beängstigend</w:t>
      </w:r>
      <w:r w:rsidRPr="00DA1AEE">
        <w:rPr>
          <w:rStyle w:val="ekvlsung"/>
        </w:rPr>
        <w:t xml:space="preserve">, da er drei Köpfe hat, </w:t>
      </w:r>
      <w:r w:rsidRPr="00713EAC">
        <w:rPr>
          <w:rStyle w:val="ekvlsung"/>
        </w:rPr>
        <w:t>die Münder besitzen, aus denen Gift kommt und deren Mähnen Schlangen sind</w:t>
      </w:r>
      <w:r w:rsidRPr="00DA1AEE">
        <w:rPr>
          <w:rStyle w:val="ekvlsung"/>
        </w:rPr>
        <w:t xml:space="preserve">. </w:t>
      </w:r>
    </w:p>
    <w:p w14:paraId="6236B707" w14:textId="77777777" w:rsidR="00503B3A" w:rsidRDefault="00503B3A" w:rsidP="00503B3A">
      <w:pPr>
        <w:ind w:right="1134"/>
      </w:pPr>
    </w:p>
    <w:p w14:paraId="68185F6F" w14:textId="77777777" w:rsidR="00662575" w:rsidRPr="00D7596B" w:rsidRDefault="00662575" w:rsidP="00503B3A">
      <w:pPr>
        <w:ind w:right="1134"/>
      </w:pPr>
    </w:p>
    <w:p w14:paraId="0A1201A4" w14:textId="77777777" w:rsidR="00DA1AEE" w:rsidRPr="00D7596B" w:rsidRDefault="00DA1AEE" w:rsidP="00DA1AEE">
      <w:pPr>
        <w:pStyle w:val="ekvaufzhlung"/>
        <w:ind w:right="1134"/>
      </w:pPr>
      <w:r>
        <w:rPr>
          <w:rStyle w:val="ekvnummerierung"/>
        </w:rPr>
        <w:t>3</w:t>
      </w:r>
      <w:r w:rsidRPr="00D7596B">
        <w:rPr>
          <w:rStyle w:val="ekvfett"/>
        </w:rPr>
        <w:tab/>
      </w:r>
    </w:p>
    <w:p w14:paraId="6FD59BA9" w14:textId="77777777" w:rsidR="00503B3A" w:rsidRPr="00D7596B" w:rsidRDefault="00DA1AEE" w:rsidP="00503B3A">
      <w:pPr>
        <w:pStyle w:val="ekvaufzhlung"/>
        <w:ind w:right="1134"/>
      </w:pPr>
      <w:r>
        <w:rPr>
          <w:rStyle w:val="ekvfett"/>
        </w:rPr>
        <w:t>a</w:t>
      </w:r>
      <w:r w:rsidR="00503B3A" w:rsidRPr="00D7596B">
        <w:rPr>
          <w:rStyle w:val="ekvfett"/>
        </w:rPr>
        <w:t>)</w:t>
      </w:r>
      <w:r w:rsidR="00503B3A" w:rsidRPr="00D7596B">
        <w:rPr>
          <w:rStyle w:val="ekvfett"/>
        </w:rPr>
        <w:tab/>
      </w:r>
      <w:r w:rsidRPr="00DA1AEE">
        <w:t>Bevor Herakles auf Kerberos trifft, muss er Herausforderungen überwinden. Nennt diese. Belegt mit Beispielen aus dem Tex</w:t>
      </w:r>
      <w:r>
        <w:t>t.</w:t>
      </w:r>
    </w:p>
    <w:p w14:paraId="70C18D3D" w14:textId="77777777" w:rsidR="00503B3A" w:rsidRPr="00D7596B" w:rsidRDefault="00503B3A" w:rsidP="00503B3A">
      <w:pPr>
        <w:pStyle w:val="ekvgrundtexthalbe"/>
        <w:ind w:right="1134"/>
      </w:pPr>
    </w:p>
    <w:p w14:paraId="4C545E43" w14:textId="77777777" w:rsidR="00DA1AEE" w:rsidRPr="00DA1AEE"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DA1AEE" w:rsidRPr="00DA1AEE">
        <w:rPr>
          <w:rStyle w:val="ekvlsung"/>
        </w:rPr>
        <w:t>den Styx überqueren</w:t>
      </w:r>
    </w:p>
    <w:p w14:paraId="5BB108FB" w14:textId="77777777" w:rsidR="00DA1AEE" w:rsidRPr="00DA1AEE"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DA1AEE" w:rsidRPr="00DA1AEE">
        <w:rPr>
          <w:rStyle w:val="ekvlsung"/>
        </w:rPr>
        <w:t>die Gorgone Medusa bekämpfen</w:t>
      </w:r>
    </w:p>
    <w:p w14:paraId="31B25A74" w14:textId="77777777" w:rsidR="00DA1AEE" w:rsidRPr="00DA1AEE"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DA1AEE" w:rsidRPr="00DA1AEE">
        <w:rPr>
          <w:rStyle w:val="ekvlsung"/>
        </w:rPr>
        <w:t>den König Pluton am Tor zur Totenstadt überwinden</w:t>
      </w:r>
    </w:p>
    <w:p w14:paraId="2244E2BE" w14:textId="77777777" w:rsidR="00503B3A" w:rsidRPr="00D7596B"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DA1AEE" w:rsidRPr="00DA1AEE">
        <w:rPr>
          <w:rStyle w:val="ekvlsung"/>
        </w:rPr>
        <w:t>unbewaffnet in den Kampf gegen den Höllenhund ziehen</w:t>
      </w:r>
    </w:p>
    <w:p w14:paraId="47BB5B41" w14:textId="77777777" w:rsidR="00503B3A" w:rsidRDefault="00503B3A" w:rsidP="00662575"/>
    <w:p w14:paraId="79A8AA58" w14:textId="77777777" w:rsidR="00662575" w:rsidRDefault="00DA1AEE" w:rsidP="00662575">
      <w:pPr>
        <w:pStyle w:val="ekvaufzhlung"/>
        <w:ind w:right="1134"/>
      </w:pPr>
      <w:r>
        <w:rPr>
          <w:rStyle w:val="ekvfett"/>
        </w:rPr>
        <w:t>b</w:t>
      </w:r>
      <w:r w:rsidRPr="00D7596B">
        <w:rPr>
          <w:rStyle w:val="ekvfett"/>
        </w:rPr>
        <w:t>)</w:t>
      </w:r>
      <w:r w:rsidRPr="00D7596B">
        <w:rPr>
          <w:rStyle w:val="ekvfett"/>
        </w:rPr>
        <w:tab/>
      </w:r>
      <w:r w:rsidR="00662575">
        <w:t xml:space="preserve">Nennt die Eigenschaften, die es Herakles ermöglichen, sein Ziel zu erreichen. Belegt mit Beispielen aus dem Text. </w:t>
      </w:r>
    </w:p>
    <w:p w14:paraId="569BFB16" w14:textId="77777777" w:rsidR="00662575" w:rsidRDefault="00662575" w:rsidP="00662575">
      <w:pPr>
        <w:pStyle w:val="ekvgrundtexthalbe"/>
      </w:pPr>
    </w:p>
    <w:p w14:paraId="38FC646B" w14:textId="77777777" w:rsidR="00662575" w:rsidRPr="00662575" w:rsidRDefault="00662575" w:rsidP="00662575">
      <w:pPr>
        <w:ind w:left="340" w:right="1134"/>
        <w:rPr>
          <w:rStyle w:val="ekvlsung"/>
        </w:rPr>
      </w:pPr>
      <w:r w:rsidRPr="00662575">
        <w:rPr>
          <w:rStyle w:val="ekvlsung"/>
        </w:rPr>
        <w:t>Herakles ist:</w:t>
      </w:r>
    </w:p>
    <w:p w14:paraId="45A52627" w14:textId="77777777" w:rsidR="00662575" w:rsidRPr="00662575"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662575" w:rsidRPr="00662575">
        <w:rPr>
          <w:rStyle w:val="ekvlsung"/>
        </w:rPr>
        <w:t>ein guter Kämpfer (Z. 28 f.: „aber Herakles vertrieb sie mit dem Schwert“).</w:t>
      </w:r>
    </w:p>
    <w:p w14:paraId="6BB5725E" w14:textId="77777777" w:rsidR="00662575" w:rsidRPr="00662575"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662575" w:rsidRPr="00662575">
        <w:rPr>
          <w:rStyle w:val="ekvlsung"/>
        </w:rPr>
        <w:t>besonders stark (Z. 36: „dass der Held nicht seine Waffen gebrauchen durfte“).</w:t>
      </w:r>
    </w:p>
    <w:p w14:paraId="2AF175F0" w14:textId="77777777" w:rsidR="00DA1AEE" w:rsidRPr="00662575" w:rsidRDefault="00DF11AD" w:rsidP="00662575">
      <w:pPr>
        <w:pStyle w:val="ekvaufzhlung1"/>
        <w:rPr>
          <w:rStyle w:val="ekvlsung"/>
        </w:rPr>
      </w:pPr>
      <w:r w:rsidRPr="00D7596B">
        <w:rPr>
          <w:rStyle w:val="ekvlsung"/>
          <w:rFonts w:ascii="Times New Roman" w:hAnsi="Times New Roman" w:cs="Times New Roman"/>
        </w:rPr>
        <w:t>‒</w:t>
      </w:r>
      <w:r w:rsidRPr="00D7596B">
        <w:rPr>
          <w:rStyle w:val="ekvlsung"/>
        </w:rPr>
        <w:tab/>
      </w:r>
      <w:r w:rsidR="00662575" w:rsidRPr="00662575">
        <w:rPr>
          <w:rStyle w:val="ekvlsung"/>
        </w:rPr>
        <w:t>listig (Z. 31 ff.: „schoss ihm einen Pfeil in die Schulter, sodass er die Qualen eines Sterblichen empfand und sich nicht länger widersetzte“).</w:t>
      </w:r>
    </w:p>
    <w:p w14:paraId="0C464059" w14:textId="77777777" w:rsidR="00DA1AEE" w:rsidRPr="00D7596B" w:rsidRDefault="00DA1AEE" w:rsidP="00503B3A">
      <w:pPr>
        <w:ind w:right="1134"/>
      </w:pPr>
    </w:p>
    <w:p w14:paraId="7E1F46BB" w14:textId="77777777" w:rsidR="00503B3A" w:rsidRPr="00D7596B" w:rsidRDefault="00503B3A" w:rsidP="00503B3A">
      <w:pPr>
        <w:ind w:right="1134"/>
      </w:pPr>
    </w:p>
    <w:p w14:paraId="10E9812D" w14:textId="77777777" w:rsidR="00503B3A" w:rsidRPr="00D7596B" w:rsidRDefault="00DA1AEE" w:rsidP="00503B3A">
      <w:pPr>
        <w:pStyle w:val="ekvaufzhlung"/>
        <w:ind w:right="1134"/>
      </w:pPr>
      <w:r>
        <w:rPr>
          <w:rStyle w:val="ekvnummerierung"/>
        </w:rPr>
        <w:t>4</w:t>
      </w:r>
      <w:r w:rsidR="00503B3A" w:rsidRPr="00D7596B">
        <w:rPr>
          <w:rStyle w:val="ekvnummerierung"/>
        </w:rPr>
        <w:tab/>
      </w:r>
      <w:r w:rsidR="00503B3A" w:rsidRPr="00D7596B">
        <w:t>„Herakles hat das Abenteuer nur durch Glück bestanden.“</w:t>
      </w:r>
      <w:r>
        <w:br/>
      </w:r>
      <w:r w:rsidR="00503B3A" w:rsidRPr="00D7596B">
        <w:t xml:space="preserve">Nehmt </w:t>
      </w:r>
      <w:r w:rsidRPr="00DA1AEE">
        <w:t xml:space="preserve">zu dieser Aussage </w:t>
      </w:r>
      <w:r w:rsidR="00503B3A" w:rsidRPr="00D7596B">
        <w:t>Stellung.</w:t>
      </w:r>
    </w:p>
    <w:p w14:paraId="690D5DF5" w14:textId="77777777" w:rsidR="00503B3A" w:rsidRPr="00D7596B" w:rsidRDefault="00503B3A" w:rsidP="00503B3A">
      <w:pPr>
        <w:pStyle w:val="ekvgrundtexthalbe"/>
      </w:pPr>
    </w:p>
    <w:p w14:paraId="40DA6C33" w14:textId="77777777" w:rsidR="00503B3A" w:rsidRPr="00D7596B" w:rsidRDefault="00503B3A" w:rsidP="00503B3A">
      <w:pPr>
        <w:ind w:left="340" w:right="1134"/>
        <w:rPr>
          <w:rStyle w:val="ekvlsung"/>
        </w:rPr>
      </w:pPr>
      <w:r w:rsidRPr="00D7596B">
        <w:rPr>
          <w:rStyle w:val="ekvlsung"/>
        </w:rPr>
        <w:t>Ich finde nicht, dass Herakles das Abenteuer nur durch Glück bestanden hat, denn er musste selbst alle Herausforderungen in der Unterwelt überwinden. Es</w:t>
      </w:r>
      <w:r w:rsidR="009943A0">
        <w:rPr>
          <w:rStyle w:val="ekvlsung"/>
        </w:rPr>
        <w:t> </w:t>
      </w:r>
      <w:r w:rsidRPr="00D7596B">
        <w:rPr>
          <w:rStyle w:val="ekvlsung"/>
        </w:rPr>
        <w:t>war nicht so, dass er auf seinem Weg zu dem Höllenhund Glück hatte, zum Beispiel dass der Fluss gerade trocken lag, um ihn zu überqueren</w:t>
      </w:r>
      <w:r w:rsidR="00662575">
        <w:rPr>
          <w:rStyle w:val="ekvlsung"/>
        </w:rPr>
        <w:t>,</w:t>
      </w:r>
      <w:r w:rsidRPr="00D7596B">
        <w:rPr>
          <w:rStyle w:val="ekvlsung"/>
        </w:rPr>
        <w:t xml:space="preserve"> oder dass der Höllenhund gerade zu krank und zu schwach zum Kämpfen war. Er musste all die schwierigen Situationen selbst lösen. Deswegen bin ich der Meinung, dass Herakles das Abenteuer durch seine heldenhaften Fähigkeiten und nicht durch Glück bestanden hat.</w:t>
      </w:r>
    </w:p>
    <w:p w14:paraId="1675C575" w14:textId="77777777" w:rsidR="00503B3A" w:rsidRPr="00D7596B" w:rsidRDefault="00503B3A" w:rsidP="00503B3A">
      <w:pPr>
        <w:ind w:right="1134"/>
      </w:pPr>
    </w:p>
    <w:p w14:paraId="3F24E6AE" w14:textId="77777777" w:rsidR="00EF190C" w:rsidRPr="00AA235C" w:rsidRDefault="00EF190C" w:rsidP="00AA235C"/>
    <w:sectPr w:rsidR="00EF190C" w:rsidRPr="00AA235C" w:rsidSect="00764797">
      <w:footerReference w:type="default" r:id="rId8"/>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973A4" w14:textId="77777777" w:rsidR="00AA235C" w:rsidRDefault="00AA235C" w:rsidP="003C599D">
      <w:pPr>
        <w:spacing w:line="240" w:lineRule="auto"/>
      </w:pPr>
      <w:r>
        <w:separator/>
      </w:r>
    </w:p>
  </w:endnote>
  <w:endnote w:type="continuationSeparator" w:id="0">
    <w:p w14:paraId="5E72AAF2" w14:textId="77777777"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2D5823E9" w14:textId="77777777" w:rsidTr="00503EE6">
      <w:trPr>
        <w:trHeight w:hRule="exact" w:val="680"/>
      </w:trPr>
      <w:tc>
        <w:tcPr>
          <w:tcW w:w="864" w:type="dxa"/>
          <w:noWrap/>
        </w:tcPr>
        <w:p w14:paraId="6FFC0117" w14:textId="77777777" w:rsidR="002659C5" w:rsidRPr="00913892" w:rsidRDefault="002659C5" w:rsidP="005E4C30">
          <w:pPr>
            <w:pStyle w:val="ekvpaginabild"/>
            <w:jc w:val="both"/>
          </w:pPr>
          <w:r w:rsidRPr="00913892">
            <w:rPr>
              <w:noProof/>
              <w:lang w:eastAsia="de-DE"/>
            </w:rPr>
            <w:drawing>
              <wp:inline distT="0" distB="0" distL="0" distR="0" wp14:anchorId="00FF505D" wp14:editId="5DBAA972">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31C2B52F" w14:textId="77777777" w:rsidR="002659C5" w:rsidRPr="00913892" w:rsidRDefault="002659C5" w:rsidP="00DA1AEE">
          <w:pPr>
            <w:pStyle w:val="ekvpagina"/>
          </w:pPr>
          <w:r w:rsidRPr="00913892">
            <w:t xml:space="preserve">© Ernst Klett Verlag GmbH, Stuttgart </w:t>
          </w:r>
          <w:r w:rsidR="00DA1AEE">
            <w:t>2020</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15ADA039" w14:textId="77777777" w:rsidR="002659C5" w:rsidRPr="00913892" w:rsidRDefault="00AA235C" w:rsidP="004136AD">
          <w:pPr>
            <w:pStyle w:val="ekvquelle"/>
          </w:pPr>
          <w:r>
            <w:t>Deutsch kompetent 6</w:t>
          </w:r>
        </w:p>
      </w:tc>
      <w:tc>
        <w:tcPr>
          <w:tcW w:w="813" w:type="dxa"/>
        </w:tcPr>
        <w:p w14:paraId="40E85D82" w14:textId="77777777" w:rsidR="002659C5" w:rsidRPr="00913892" w:rsidRDefault="002659C5" w:rsidP="00913892">
          <w:pPr>
            <w:pStyle w:val="ekvpagina"/>
          </w:pPr>
        </w:p>
      </w:tc>
    </w:tr>
  </w:tbl>
  <w:p w14:paraId="296679C3"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342F" w14:textId="77777777" w:rsidR="00AA235C" w:rsidRDefault="00AA235C" w:rsidP="003C599D">
      <w:pPr>
        <w:spacing w:line="240" w:lineRule="auto"/>
      </w:pPr>
      <w:r>
        <w:separator/>
      </w:r>
    </w:p>
  </w:footnote>
  <w:footnote w:type="continuationSeparator" w:id="0">
    <w:p w14:paraId="2831317B" w14:textId="77777777"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108"/>
    <w:rsid w:val="00190B65"/>
    <w:rsid w:val="00193A18"/>
    <w:rsid w:val="001A3936"/>
    <w:rsid w:val="001A5BD5"/>
    <w:rsid w:val="001B454A"/>
    <w:rsid w:val="001B46FC"/>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77439"/>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23C6"/>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B3D"/>
    <w:rsid w:val="00490692"/>
    <w:rsid w:val="004925F2"/>
    <w:rsid w:val="004929DA"/>
    <w:rsid w:val="004A4DBC"/>
    <w:rsid w:val="004A66C3"/>
    <w:rsid w:val="004A66CF"/>
    <w:rsid w:val="004B17DA"/>
    <w:rsid w:val="004C72A6"/>
    <w:rsid w:val="004E3969"/>
    <w:rsid w:val="004F45AB"/>
    <w:rsid w:val="00500F8B"/>
    <w:rsid w:val="00501528"/>
    <w:rsid w:val="00503B3A"/>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2575"/>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3EAC"/>
    <w:rsid w:val="00715A9A"/>
    <w:rsid w:val="00716152"/>
    <w:rsid w:val="0072030B"/>
    <w:rsid w:val="00720747"/>
    <w:rsid w:val="007228A6"/>
    <w:rsid w:val="00722BE8"/>
    <w:rsid w:val="00724064"/>
    <w:rsid w:val="007244CC"/>
    <w:rsid w:val="0073042D"/>
    <w:rsid w:val="0073238D"/>
    <w:rsid w:val="00733A44"/>
    <w:rsid w:val="00741417"/>
    <w:rsid w:val="00741CD4"/>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067D5"/>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95AD1"/>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943A0"/>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0111"/>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52622"/>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1AEE"/>
    <w:rsid w:val="00DA29C3"/>
    <w:rsid w:val="00DA6422"/>
    <w:rsid w:val="00DB0557"/>
    <w:rsid w:val="00DB2C80"/>
    <w:rsid w:val="00DC2340"/>
    <w:rsid w:val="00DC30DA"/>
    <w:rsid w:val="00DC529F"/>
    <w:rsid w:val="00DE287B"/>
    <w:rsid w:val="00DE603B"/>
    <w:rsid w:val="00DF11AD"/>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03F5E"/>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B89F44"/>
  <w15:docId w15:val="{0D460095-C0F8-4B11-AB4A-409A953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8358-8A47-469A-B66A-1A58456D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1960</Characters>
  <Application>Microsoft Office Word</Application>
  <DocSecurity>0</DocSecurity>
  <Lines>62</Lines>
  <Paragraphs>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dc:description>Juliane Krehl</dc:description>
  <cp:lastModifiedBy/>
  <cp:revision>16</cp:revision>
  <cp:lastPrinted>2020-07-28T18:15:00Z</cp:lastPrinted>
  <dcterms:created xsi:type="dcterms:W3CDTF">2019-08-27T09:41:00Z</dcterms:created>
  <dcterms:modified xsi:type="dcterms:W3CDTF">2020-08-13T11:59:00Z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