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2C5D15" w:rsidP="00AD3338">
            <w:pPr>
              <w:pStyle w:val="ekvkvnummer"/>
            </w:pPr>
            <w:r w:rsidRPr="007C1230">
              <w:t xml:space="preserve">KV </w:t>
            </w:r>
            <w:r w:rsidR="00E81EBD">
              <w:t>0</w:t>
            </w:r>
            <w:r w:rsidR="00AD3338">
              <w:t>2</w:t>
            </w:r>
            <w:bookmarkStart w:id="0" w:name="_GoBack"/>
            <w:bookmarkEnd w:id="0"/>
          </w:p>
        </w:tc>
        <w:tc>
          <w:tcPr>
            <w:tcW w:w="883" w:type="dxa"/>
            <w:tcBorders>
              <w:top w:val="nil"/>
              <w:left w:val="nil"/>
              <w:bottom w:val="nil"/>
            </w:tcBorders>
            <w:noWrap/>
            <w:vAlign w:val="bottom"/>
          </w:tcPr>
          <w:p w:rsidR="002C5D15" w:rsidRPr="007636A0" w:rsidRDefault="000E2156" w:rsidP="009078CB">
            <w:pPr>
              <w:pStyle w:val="ekvkapitel"/>
              <w:rPr>
                <w:color w:val="FFFFFF" w:themeColor="background1"/>
              </w:rPr>
            </w:pPr>
            <w:r>
              <w:t>3</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166019" w:rsidRDefault="006C3085" w:rsidP="00DC4BC4">
      <w:pPr>
        <w:pStyle w:val="ekvue2arial"/>
      </w:pPr>
      <w:bookmarkStart w:id="1" w:name="bmStart"/>
      <w:bookmarkEnd w:id="1"/>
      <w:r w:rsidRPr="006C3085">
        <w:t>Unternehmenszusammenschlüsse und Verbraucherschutz</w:t>
      </w:r>
    </w:p>
    <w:p w:rsidR="008B6867" w:rsidRPr="00444C7A" w:rsidRDefault="008B6867" w:rsidP="008B6867">
      <w:pPr>
        <w:rPr>
          <w:rStyle w:val="ekvarbeitsanweisungdeutsch"/>
        </w:rPr>
      </w:pPr>
    </w:p>
    <w:tbl>
      <w:tblPr>
        <w:tblW w:w="9356" w:type="dxa"/>
        <w:tblInd w:w="113" w:type="dxa"/>
        <w:tblLayout w:type="fixed"/>
        <w:tblCellMar>
          <w:left w:w="113" w:type="dxa"/>
          <w:right w:w="113" w:type="dxa"/>
        </w:tblCellMar>
        <w:tblLook w:val="01E0" w:firstRow="1" w:lastRow="1" w:firstColumn="1" w:lastColumn="1" w:noHBand="0" w:noVBand="0"/>
      </w:tblPr>
      <w:tblGrid>
        <w:gridCol w:w="567"/>
        <w:gridCol w:w="8789"/>
      </w:tblGrid>
      <w:tr w:rsidR="008B6867" w:rsidRPr="003C39DC" w:rsidTr="004675BD">
        <w:trPr>
          <w:trHeight w:val="284"/>
        </w:trPr>
        <w:tc>
          <w:tcPr>
            <w:tcW w:w="567" w:type="dxa"/>
            <w:tcBorders>
              <w:bottom w:val="single" w:sz="8" w:space="0" w:color="333333"/>
              <w:right w:val="single" w:sz="4" w:space="0" w:color="333333"/>
            </w:tcBorders>
            <w:shd w:val="clear" w:color="auto" w:fill="FFFFFF" w:themeFill="background1"/>
          </w:tcPr>
          <w:p w:rsidR="008B6867" w:rsidRPr="0081389B" w:rsidRDefault="008B6867" w:rsidP="004675BD">
            <w:pPr>
              <w:rPr>
                <w:rStyle w:val="ekvfett"/>
              </w:rPr>
            </w:pPr>
            <w:r w:rsidRPr="0048646A">
              <w:rPr>
                <w:rStyle w:val="ekvfett"/>
                <w:color w:val="FFFFFF" w:themeColor="background1"/>
                <w:highlight w:val="darkGray"/>
              </w:rPr>
              <w:t>M1</w:t>
            </w:r>
          </w:p>
        </w:tc>
        <w:tc>
          <w:tcPr>
            <w:tcW w:w="8789" w:type="dxa"/>
            <w:tcBorders>
              <w:bottom w:val="single" w:sz="8" w:space="0" w:color="333333"/>
            </w:tcBorders>
            <w:shd w:val="clear" w:color="auto" w:fill="FFFFFF" w:themeFill="background1"/>
          </w:tcPr>
          <w:p w:rsidR="008B6867" w:rsidRPr="0081389B" w:rsidRDefault="008B6867" w:rsidP="004675BD">
            <w:pPr>
              <w:rPr>
                <w:rStyle w:val="ekvfett"/>
              </w:rPr>
            </w:pPr>
            <w:r w:rsidRPr="00615E23">
              <w:rPr>
                <w:rStyle w:val="ekvfett"/>
              </w:rPr>
              <w:t>Millionenbuße gegen Bierkartell</w:t>
            </w:r>
          </w:p>
        </w:tc>
      </w:tr>
      <w:tr w:rsidR="008B6867" w:rsidRPr="003C39DC" w:rsidTr="004675BD">
        <w:trPr>
          <w:trHeight w:val="284"/>
        </w:trPr>
        <w:tc>
          <w:tcPr>
            <w:tcW w:w="567" w:type="dxa"/>
            <w:tcBorders>
              <w:bottom w:val="single" w:sz="8" w:space="0" w:color="333333"/>
              <w:right w:val="single" w:sz="4" w:space="0" w:color="333333"/>
            </w:tcBorders>
            <w:shd w:val="clear" w:color="auto" w:fill="FFFFFF" w:themeFill="background1"/>
          </w:tcPr>
          <w:p w:rsidR="008B6867" w:rsidRPr="00615E23" w:rsidRDefault="008B6867" w:rsidP="004675BD">
            <w:r w:rsidRPr="00615E23">
              <w:t>1</w:t>
            </w:r>
          </w:p>
          <w:p w:rsidR="008B6867" w:rsidRPr="00615E23" w:rsidRDefault="008B6867" w:rsidP="004675BD"/>
          <w:p w:rsidR="008B6867" w:rsidRPr="00615E23" w:rsidRDefault="008B6867" w:rsidP="004675BD"/>
          <w:p w:rsidR="008B6867" w:rsidRPr="00615E23" w:rsidRDefault="008B6867" w:rsidP="004675BD"/>
          <w:p w:rsidR="008B6867" w:rsidRPr="0048646A" w:rsidRDefault="008B6867" w:rsidP="004675BD">
            <w:pPr>
              <w:rPr>
                <w:rStyle w:val="ekvfett"/>
                <w:color w:val="FFFFFF" w:themeColor="background1"/>
                <w:highlight w:val="darkGray"/>
              </w:rPr>
            </w:pPr>
            <w:r w:rsidRPr="00615E23">
              <w:t>5</w:t>
            </w:r>
          </w:p>
        </w:tc>
        <w:tc>
          <w:tcPr>
            <w:tcW w:w="8787" w:type="dxa"/>
            <w:tcBorders>
              <w:bottom w:val="single" w:sz="8" w:space="0" w:color="333333"/>
            </w:tcBorders>
            <w:shd w:val="clear" w:color="auto" w:fill="FFFFFF" w:themeFill="background1"/>
          </w:tcPr>
          <w:p w:rsidR="008B6867" w:rsidRPr="00615E23" w:rsidRDefault="008B6867" w:rsidP="004675BD">
            <w:r>
              <w:t>D</w:t>
            </w:r>
            <w:r w:rsidRPr="00BB48D5">
              <w:t>as  Bundes</w:t>
            </w:r>
            <w:r>
              <w:t>kartellamt hat zwischen Juni 2015 und Dezember 2016</w:t>
            </w:r>
            <w:r w:rsidRPr="00BB48D5">
              <w:t xml:space="preserve"> wegen Preisabsprachen beim Vertrieb von Bier</w:t>
            </w:r>
            <w:r>
              <w:t>p</w:t>
            </w:r>
            <w:r w:rsidRPr="00BB48D5">
              <w:t xml:space="preserve">rodukten </w:t>
            </w:r>
            <w:r>
              <w:t>des Brauers</w:t>
            </w:r>
            <w:r w:rsidRPr="00BB48D5">
              <w:t xml:space="preserve"> InBev Geldbußen in Höhe von insgesamt rund 112 Mio. Euro verhängt</w:t>
            </w:r>
            <w:r>
              <w:t>. Zu Strafen verurteilt wurden die Einzelhandelsketten</w:t>
            </w:r>
            <w:r w:rsidRPr="00615E23">
              <w:t xml:space="preserve"> Edeka,</w:t>
            </w:r>
            <w:r>
              <w:t xml:space="preserve"> Netto, Kaufland und Metro. Sie hatten mit </w:t>
            </w:r>
            <w:r w:rsidRPr="00615E23">
              <w:t>InBev in</w:t>
            </w:r>
            <w:r>
              <w:t xml:space="preserve"> </w:t>
            </w:r>
            <w:r w:rsidRPr="00615E23">
              <w:t>Deutschland Preiserhöhungen insbesondere für die Marken Beck’s, Franziskaner und Hasseröder</w:t>
            </w:r>
            <w:r>
              <w:t xml:space="preserve"> </w:t>
            </w:r>
            <w:r w:rsidRPr="00615E23">
              <w:t>abgesprochen</w:t>
            </w:r>
            <w:r>
              <w:t xml:space="preserve">. </w:t>
            </w:r>
          </w:p>
        </w:tc>
      </w:tr>
    </w:tbl>
    <w:p w:rsidR="008B6867" w:rsidRPr="00B449BF" w:rsidRDefault="008B6867" w:rsidP="008B6867">
      <w:pPr>
        <w:pStyle w:val="ekvbildlegende"/>
      </w:pPr>
      <w:r>
        <w:t>Quelle</w:t>
      </w:r>
      <w:r w:rsidRPr="00B449BF">
        <w:t xml:space="preserve">: </w:t>
      </w:r>
      <w:r>
        <w:t>Autorentext nach einer Pressemeldung des Bundeskartellamts vom Dezember 2016</w:t>
      </w:r>
    </w:p>
    <w:p w:rsidR="008B6867" w:rsidRDefault="008B6867" w:rsidP="008B6867"/>
    <w:tbl>
      <w:tblPr>
        <w:tblW w:w="9354" w:type="dxa"/>
        <w:tblInd w:w="113" w:type="dxa"/>
        <w:tblLayout w:type="fixed"/>
        <w:tblCellMar>
          <w:left w:w="113" w:type="dxa"/>
          <w:right w:w="113" w:type="dxa"/>
        </w:tblCellMar>
        <w:tblLook w:val="01E0" w:firstRow="1" w:lastRow="1" w:firstColumn="1" w:lastColumn="1" w:noHBand="0" w:noVBand="0"/>
      </w:tblPr>
      <w:tblGrid>
        <w:gridCol w:w="567"/>
        <w:gridCol w:w="8787"/>
      </w:tblGrid>
      <w:tr w:rsidR="008B6867" w:rsidRPr="003C39DC" w:rsidTr="004675BD">
        <w:trPr>
          <w:trHeight w:val="284"/>
        </w:trPr>
        <w:tc>
          <w:tcPr>
            <w:tcW w:w="567" w:type="dxa"/>
            <w:tcBorders>
              <w:bottom w:val="single" w:sz="8" w:space="0" w:color="333333"/>
              <w:right w:val="single" w:sz="4" w:space="0" w:color="333333"/>
            </w:tcBorders>
            <w:shd w:val="clear" w:color="auto" w:fill="FFFFFF" w:themeFill="background1"/>
          </w:tcPr>
          <w:p w:rsidR="008B6867" w:rsidRPr="0081389B" w:rsidRDefault="008B6867" w:rsidP="004675BD">
            <w:pPr>
              <w:rPr>
                <w:rStyle w:val="ekvfett"/>
              </w:rPr>
            </w:pPr>
            <w:r w:rsidRPr="0048646A">
              <w:rPr>
                <w:rStyle w:val="ekvfett"/>
                <w:color w:val="FFFFFF" w:themeColor="background1"/>
                <w:highlight w:val="darkGray"/>
              </w:rPr>
              <w:t>M</w:t>
            </w:r>
            <w:r>
              <w:rPr>
                <w:rStyle w:val="ekvfett"/>
                <w:color w:val="FFFFFF" w:themeColor="background1"/>
                <w:highlight w:val="darkGray"/>
              </w:rPr>
              <w:t>2</w:t>
            </w:r>
          </w:p>
        </w:tc>
        <w:tc>
          <w:tcPr>
            <w:tcW w:w="8787" w:type="dxa"/>
            <w:tcBorders>
              <w:bottom w:val="single" w:sz="8" w:space="0" w:color="333333"/>
            </w:tcBorders>
            <w:shd w:val="clear" w:color="auto" w:fill="FFFFFF" w:themeFill="background1"/>
          </w:tcPr>
          <w:p w:rsidR="008B6867" w:rsidRPr="0081389B" w:rsidRDefault="008B6867" w:rsidP="004675BD">
            <w:pPr>
              <w:rPr>
                <w:rStyle w:val="ekvfett"/>
              </w:rPr>
            </w:pPr>
            <w:r w:rsidRPr="00EB2E4E">
              <w:rPr>
                <w:rStyle w:val="ekvfett"/>
              </w:rPr>
              <w:t xml:space="preserve">Entwicklungsallianz Daimler und BMW </w:t>
            </w:r>
          </w:p>
        </w:tc>
      </w:tr>
      <w:tr w:rsidR="008B6867" w:rsidRPr="003C39DC" w:rsidTr="004675BD">
        <w:trPr>
          <w:trHeight w:val="284"/>
        </w:trPr>
        <w:tc>
          <w:tcPr>
            <w:tcW w:w="567" w:type="dxa"/>
            <w:tcBorders>
              <w:bottom w:val="single" w:sz="8" w:space="0" w:color="333333"/>
              <w:right w:val="single" w:sz="4" w:space="0" w:color="333333"/>
            </w:tcBorders>
            <w:shd w:val="clear" w:color="auto" w:fill="auto"/>
          </w:tcPr>
          <w:p w:rsidR="008B6867" w:rsidRPr="00EB2E4E" w:rsidRDefault="008B6867" w:rsidP="004675BD">
            <w:r w:rsidRPr="00EB2E4E">
              <w:t>1</w:t>
            </w:r>
          </w:p>
          <w:p w:rsidR="008B6867" w:rsidRPr="00EB2E4E" w:rsidRDefault="008B6867" w:rsidP="004675BD"/>
          <w:p w:rsidR="008B6867" w:rsidRPr="00EB2E4E" w:rsidRDefault="008B6867" w:rsidP="004675BD"/>
          <w:p w:rsidR="008B6867" w:rsidRPr="00EB2E4E" w:rsidRDefault="008B6867" w:rsidP="004675BD"/>
          <w:p w:rsidR="008B6867" w:rsidRDefault="008B6867" w:rsidP="004675BD">
            <w:r>
              <w:t>5</w:t>
            </w:r>
          </w:p>
          <w:p w:rsidR="008B6867" w:rsidRDefault="008B6867" w:rsidP="004675BD"/>
          <w:p w:rsidR="008B6867" w:rsidRDefault="008B6867" w:rsidP="004675BD">
            <w:pPr>
              <w:rPr>
                <w:highlight w:val="darkGray"/>
              </w:rPr>
            </w:pPr>
          </w:p>
          <w:p w:rsidR="008B6867" w:rsidRPr="00EB2E4E" w:rsidRDefault="008B6867" w:rsidP="004675BD">
            <w:pPr>
              <w:rPr>
                <w:highlight w:val="darkGray"/>
              </w:rPr>
            </w:pPr>
          </w:p>
        </w:tc>
        <w:tc>
          <w:tcPr>
            <w:tcW w:w="8787" w:type="dxa"/>
            <w:tcBorders>
              <w:bottom w:val="single" w:sz="8" w:space="0" w:color="333333"/>
            </w:tcBorders>
            <w:shd w:val="clear" w:color="auto" w:fill="FFFFFF" w:themeFill="background1"/>
          </w:tcPr>
          <w:p w:rsidR="008B6867" w:rsidRPr="00615E23" w:rsidRDefault="008B6867" w:rsidP="004675BD">
            <w:pPr>
              <w:rPr>
                <w:rStyle w:val="ekvfett"/>
                <w:b w:val="0"/>
              </w:rPr>
            </w:pPr>
            <w:r>
              <w:t xml:space="preserve">Eigentlich sind sie Konkurrenten, doch beim autonomen Fahren wollen </w:t>
            </w:r>
            <w:r w:rsidRPr="00EB2E4E">
              <w:t xml:space="preserve">Daimler und BMW </w:t>
            </w:r>
            <w:r>
              <w:t>demnächst gemeinsame Sache machen</w:t>
            </w:r>
            <w:r w:rsidRPr="00EB2E4E">
              <w:t xml:space="preserve">. </w:t>
            </w:r>
            <w:r>
              <w:t>Die beiden Autokonzerne spüren die Konkurrenz der großen Digitalkonzerne im Nacken, wenn es um die Entwicklung von Roboterautos geht. Auf diesem Feld haben die Größen aus dem Silicon Valley die Nase vorn. Aus diesem Grund wollen BMW und Mercedes jetzt neue Technologien</w:t>
            </w:r>
            <w:r w:rsidRPr="00EB2E4E">
              <w:t xml:space="preserve"> für Fahrassistenzsysteme, automatisierte Parkfunktionen sowie automatisiertes Fahren auf Auto</w:t>
            </w:r>
            <w:r>
              <w:t xml:space="preserve">bahnen gemeinsam entwickeln. Der Grund ist die Kostenersparnis, denn die </w:t>
            </w:r>
            <w:r w:rsidRPr="00EB2E4E">
              <w:t xml:space="preserve">Entwicklung von Betriebssystemen für das führerlose Fahren </w:t>
            </w:r>
            <w:r>
              <w:t xml:space="preserve">kostet Milliarden. Außerdem soll </w:t>
            </w:r>
            <w:r w:rsidRPr="00EB2E4E">
              <w:t>die Technik</w:t>
            </w:r>
            <w:r>
              <w:t xml:space="preserve"> dank der Zusammenarbeit</w:t>
            </w:r>
            <w:r w:rsidRPr="00EB2E4E">
              <w:t xml:space="preserve"> schneller</w:t>
            </w:r>
            <w:r>
              <w:t xml:space="preserve"> marktreif werden</w:t>
            </w:r>
            <w:r w:rsidRPr="00EB2E4E">
              <w:t xml:space="preserve">. </w:t>
            </w:r>
          </w:p>
        </w:tc>
      </w:tr>
    </w:tbl>
    <w:p w:rsidR="008B6867" w:rsidRPr="00A570B8" w:rsidRDefault="008B6867" w:rsidP="008B6867">
      <w:pPr>
        <w:pStyle w:val="ekvbildlegende"/>
      </w:pPr>
      <w:r>
        <w:t>Quelle:</w:t>
      </w:r>
      <w:r w:rsidRPr="00A570B8">
        <w:t xml:space="preserve"> </w:t>
      </w:r>
      <w:r>
        <w:t>Autorentext nach Zeitungsmeldungen vom Februar 2019</w:t>
      </w:r>
    </w:p>
    <w:p w:rsidR="008B6867" w:rsidRDefault="008B6867" w:rsidP="008B6867"/>
    <w:p w:rsidR="008B6867" w:rsidRDefault="008B6867" w:rsidP="008B6867"/>
    <w:tbl>
      <w:tblPr>
        <w:tblW w:w="9354" w:type="dxa"/>
        <w:tblLayout w:type="fixed"/>
        <w:tblCellMar>
          <w:left w:w="0" w:type="dxa"/>
          <w:right w:w="0" w:type="dxa"/>
        </w:tblCellMar>
        <w:tblLook w:val="01E0" w:firstRow="1" w:lastRow="1" w:firstColumn="1" w:lastColumn="1" w:noHBand="0" w:noVBand="0"/>
      </w:tblPr>
      <w:tblGrid>
        <w:gridCol w:w="8617"/>
        <w:gridCol w:w="737"/>
      </w:tblGrid>
      <w:tr w:rsidR="008B6867" w:rsidRPr="003C39DC" w:rsidTr="004675BD">
        <w:trPr>
          <w:trHeight w:val="284"/>
        </w:trPr>
        <w:tc>
          <w:tcPr>
            <w:tcW w:w="8617" w:type="dxa"/>
            <w:tcBorders>
              <w:bottom w:val="single" w:sz="8" w:space="0" w:color="333333"/>
              <w:right w:val="single" w:sz="4" w:space="0" w:color="333333"/>
            </w:tcBorders>
            <w:shd w:val="clear" w:color="auto" w:fill="FFFFFF" w:themeFill="background1"/>
          </w:tcPr>
          <w:p w:rsidR="008B6867" w:rsidRDefault="008B6867" w:rsidP="004675BD">
            <w:pPr>
              <w:pStyle w:val="ekvaufzhlung"/>
            </w:pPr>
            <w:r w:rsidRPr="001A3887">
              <w:rPr>
                <w:rStyle w:val="ekvfett"/>
              </w:rPr>
              <w:t>1.</w:t>
            </w:r>
            <w:r>
              <w:tab/>
              <w:t>Die Zusammenarbeit von Unternehmen kann in unterschiedlicher Form erfolgen.</w:t>
            </w:r>
          </w:p>
          <w:p w:rsidR="008B6867" w:rsidRDefault="008B6867" w:rsidP="004675BD">
            <w:pPr>
              <w:pStyle w:val="ekvaufzhlung"/>
            </w:pPr>
            <w:r>
              <w:tab/>
              <w:t>a)</w:t>
            </w:r>
            <w:r>
              <w:tab/>
              <w:t xml:space="preserve">Beschreiben Sie die in </w:t>
            </w:r>
            <w:r w:rsidRPr="0048646A">
              <w:rPr>
                <w:rStyle w:val="ekvfett"/>
                <w:color w:val="FFFFFF" w:themeColor="background1"/>
                <w:highlight w:val="darkGray"/>
              </w:rPr>
              <w:t>M1</w:t>
            </w:r>
            <w:r>
              <w:rPr>
                <w:rStyle w:val="ekvfett"/>
                <w:color w:val="FFFFFF" w:themeColor="background1"/>
              </w:rPr>
              <w:t xml:space="preserve"> </w:t>
            </w:r>
            <w:r w:rsidRPr="00615E23">
              <w:t>und</w:t>
            </w:r>
            <w:r>
              <w:rPr>
                <w:rStyle w:val="ekvfett"/>
                <w:color w:val="FFFFFF" w:themeColor="background1"/>
              </w:rPr>
              <w:t xml:space="preserve"> </w:t>
            </w:r>
            <w:r w:rsidRPr="0048646A">
              <w:rPr>
                <w:rStyle w:val="ekvfett"/>
                <w:color w:val="FFFFFF" w:themeColor="background1"/>
                <w:highlight w:val="darkGray"/>
              </w:rPr>
              <w:t>M</w:t>
            </w:r>
            <w:r>
              <w:rPr>
                <w:rStyle w:val="ekvfett"/>
                <w:color w:val="FFFFFF" w:themeColor="background1"/>
                <w:highlight w:val="darkGray"/>
              </w:rPr>
              <w:t>2</w:t>
            </w:r>
            <w:r>
              <w:rPr>
                <w:rStyle w:val="ekvfett"/>
                <w:color w:val="FFFFFF" w:themeColor="background1"/>
              </w:rPr>
              <w:t xml:space="preserve"> </w:t>
            </w:r>
            <w:r>
              <w:t xml:space="preserve">dargestellten Formen von Unternehmens-zusammenschlüssen. </w:t>
            </w:r>
          </w:p>
          <w:p w:rsidR="008B6867" w:rsidRDefault="008B6867" w:rsidP="004675BD">
            <w:pPr>
              <w:pStyle w:val="ekvaufzhlung"/>
            </w:pPr>
            <w:r>
              <w:tab/>
              <w:t xml:space="preserve">b) </w:t>
            </w:r>
            <w:r>
              <w:tab/>
            </w:r>
            <w:r w:rsidRPr="00A22849">
              <w:t xml:space="preserve">Erläutern Sie, warum das Bundeskartellamt hohe Bußgelder gegen Einzelhandelsketten verhängt hat, bei der Zusammenarbeit der Automobilhersteller </w:t>
            </w:r>
            <w:r>
              <w:t xml:space="preserve">aber </w:t>
            </w:r>
            <w:r w:rsidRPr="00A22849">
              <w:t xml:space="preserve">nicht einschreitet. </w:t>
            </w:r>
          </w:p>
          <w:p w:rsidR="008B6867" w:rsidRDefault="008B6867" w:rsidP="004675BD">
            <w:pPr>
              <w:pStyle w:val="ekvaufzhlung"/>
            </w:pPr>
            <w:r>
              <w:rPr>
                <w:rStyle w:val="ekvfett"/>
              </w:rPr>
              <w:tab/>
            </w:r>
            <w:r w:rsidRPr="00A22849">
              <w:t xml:space="preserve">c) </w:t>
            </w:r>
            <w:r w:rsidRPr="00A22849">
              <w:tab/>
              <w:t>Das Kartellamt gilt als „Hüterin des Wettbewerbs“. Beschreiben Sie de</w:t>
            </w:r>
            <w:r>
              <w:t>ssen</w:t>
            </w:r>
            <w:r w:rsidRPr="00A22849">
              <w:t xml:space="preserve"> Aufgaben.</w:t>
            </w:r>
          </w:p>
          <w:p w:rsidR="008B6867" w:rsidRDefault="008B6867" w:rsidP="004675BD">
            <w:pPr>
              <w:pStyle w:val="ekvaufzhlung"/>
            </w:pPr>
          </w:p>
          <w:p w:rsidR="008B6867" w:rsidRDefault="008B6867" w:rsidP="004675BD">
            <w:pPr>
              <w:pStyle w:val="ekvaufzhlung"/>
            </w:pPr>
            <w:r>
              <w:rPr>
                <w:rStyle w:val="ekvfett"/>
              </w:rPr>
              <w:t>2</w:t>
            </w:r>
            <w:r w:rsidRPr="001A3887">
              <w:rPr>
                <w:rStyle w:val="ekvfett"/>
              </w:rPr>
              <w:t>.</w:t>
            </w:r>
            <w:r>
              <w:tab/>
              <w:t>Im Lebensmitteleinzelhandel bestimmen die „großen Vier“ 85 % des Absatzes.</w:t>
            </w:r>
          </w:p>
          <w:p w:rsidR="008B6867" w:rsidRDefault="008B6867" w:rsidP="004675BD">
            <w:pPr>
              <w:pStyle w:val="ekvaufzhlung"/>
            </w:pPr>
            <w:r>
              <w:tab/>
              <w:t>a)</w:t>
            </w:r>
            <w:r>
              <w:tab/>
              <w:t xml:space="preserve">Geben Sie einen Überblick über die verschiedenen Marktformen und ordnen Sie </w:t>
            </w:r>
          </w:p>
          <w:p w:rsidR="008B6867" w:rsidRDefault="008B6867" w:rsidP="004675BD">
            <w:pPr>
              <w:pStyle w:val="ekvaufzhlung"/>
            </w:pPr>
            <w:r>
              <w:tab/>
            </w:r>
            <w:r>
              <w:tab/>
            </w:r>
            <w:r>
              <w:tab/>
              <w:t>den Lebensmitteleinzelhandel einer dieser Marktformen zu.</w:t>
            </w:r>
          </w:p>
          <w:p w:rsidR="008B6867" w:rsidRDefault="008B6867" w:rsidP="004675BD">
            <w:pPr>
              <w:pStyle w:val="ekvaufzhlung"/>
            </w:pPr>
            <w:r>
              <w:tab/>
              <w:t>b)</w:t>
            </w:r>
            <w:r>
              <w:tab/>
              <w:t xml:space="preserve">Zeigen Sie vier Nachteile für den Verbraucher auf, die mit einer Konzentration </w:t>
            </w:r>
          </w:p>
          <w:p w:rsidR="008B6867" w:rsidRDefault="008B6867" w:rsidP="004675BD">
            <w:pPr>
              <w:pStyle w:val="ekvaufzhlung"/>
            </w:pPr>
            <w:r>
              <w:tab/>
            </w:r>
            <w:r>
              <w:tab/>
            </w:r>
            <w:r>
              <w:tab/>
              <w:t>im Lebensmitteleinzelhandel verbunden sind.</w:t>
            </w:r>
          </w:p>
          <w:p w:rsidR="008B6867" w:rsidRDefault="008B6867" w:rsidP="004675BD">
            <w:pPr>
              <w:pStyle w:val="ekvaufzhlung"/>
            </w:pPr>
          </w:p>
          <w:p w:rsidR="008B6867" w:rsidRDefault="008B6867" w:rsidP="004675BD">
            <w:pPr>
              <w:pStyle w:val="ekvaufzhlung"/>
            </w:pPr>
            <w:r w:rsidRPr="00AD482E">
              <w:rPr>
                <w:rStyle w:val="ekvfett"/>
              </w:rPr>
              <w:t>3.</w:t>
            </w:r>
            <w:r>
              <w:t xml:space="preserve"> </w:t>
            </w:r>
            <w:r>
              <w:tab/>
              <w:t>Erläutern Sie anhand eines Preis-Mengen-Diagramms die Begriffe:</w:t>
            </w:r>
          </w:p>
          <w:p w:rsidR="008B6867" w:rsidRDefault="008B6867" w:rsidP="004675BD">
            <w:pPr>
              <w:pStyle w:val="ekvaufzhlung"/>
            </w:pPr>
            <w:r>
              <w:tab/>
              <w:t>Gleichgewichtspreis, Angebots- und Nachfrageüberhang.</w:t>
            </w:r>
          </w:p>
          <w:p w:rsidR="008B6867" w:rsidRDefault="008B6867" w:rsidP="004675BD">
            <w:pPr>
              <w:pStyle w:val="ekvaufzhlung"/>
            </w:pPr>
          </w:p>
          <w:p w:rsidR="008B6867" w:rsidRDefault="008B6867" w:rsidP="004675BD">
            <w:pPr>
              <w:pStyle w:val="ekvaufzhlung"/>
            </w:pPr>
            <w:r w:rsidRPr="00AD482E">
              <w:rPr>
                <w:rStyle w:val="ekvfett"/>
              </w:rPr>
              <w:t>4.</w:t>
            </w:r>
            <w:r>
              <w:tab/>
              <w:t xml:space="preserve">Neben dem Kartellrecht gibt es eine Reihe von gesetzlichen Bestimmungen zum </w:t>
            </w:r>
          </w:p>
          <w:p w:rsidR="008B6867" w:rsidRDefault="008B6867" w:rsidP="004675BD">
            <w:pPr>
              <w:pStyle w:val="ekvaufzhlung"/>
            </w:pPr>
            <w:r>
              <w:tab/>
              <w:t>Verbraucherschutz. Stellen Sie in einer Tabelle die gesetzlichen Regelungen zu Fern-absatzgeschäften und zum Gesetz gegen den unlauteren Wettbewerb zusammen.</w:t>
            </w:r>
          </w:p>
          <w:p w:rsidR="008B6867" w:rsidRPr="003C39DC" w:rsidRDefault="008B6867" w:rsidP="004675BD">
            <w:pPr>
              <w:pStyle w:val="ekvgrundtexthalbe"/>
            </w:pPr>
          </w:p>
        </w:tc>
        <w:tc>
          <w:tcPr>
            <w:tcW w:w="737" w:type="dxa"/>
            <w:tcBorders>
              <w:left w:val="single" w:sz="4" w:space="0" w:color="333333"/>
              <w:bottom w:val="single" w:sz="8" w:space="0" w:color="333333"/>
            </w:tcBorders>
            <w:shd w:val="clear" w:color="auto" w:fill="FFFFFF" w:themeFill="background1"/>
          </w:tcPr>
          <w:p w:rsidR="008B6867" w:rsidRDefault="008B6867" w:rsidP="004675BD">
            <w:pPr>
              <w:jc w:val="center"/>
            </w:pPr>
          </w:p>
          <w:p w:rsidR="008B6867" w:rsidRDefault="008B6867" w:rsidP="004675BD">
            <w:pPr>
              <w:jc w:val="center"/>
            </w:pPr>
            <w:r>
              <w:t>3 P.</w:t>
            </w:r>
          </w:p>
          <w:p w:rsidR="008B6867" w:rsidRDefault="008B6867" w:rsidP="004675BD">
            <w:pPr>
              <w:jc w:val="center"/>
            </w:pPr>
          </w:p>
          <w:p w:rsidR="008B6867" w:rsidRDefault="008B6867" w:rsidP="004675BD">
            <w:pPr>
              <w:jc w:val="center"/>
            </w:pPr>
            <w:r>
              <w:t>4 P.</w:t>
            </w:r>
          </w:p>
          <w:p w:rsidR="008B6867" w:rsidRDefault="008B6867" w:rsidP="004675BD">
            <w:pPr>
              <w:jc w:val="center"/>
            </w:pPr>
          </w:p>
          <w:p w:rsidR="008B6867" w:rsidRDefault="008B6867" w:rsidP="004675BD">
            <w:pPr>
              <w:jc w:val="center"/>
            </w:pPr>
            <w:r>
              <w:t>3 P.</w:t>
            </w:r>
          </w:p>
          <w:p w:rsidR="008B6867" w:rsidRDefault="008B6867" w:rsidP="004675BD">
            <w:pPr>
              <w:jc w:val="center"/>
            </w:pPr>
          </w:p>
          <w:p w:rsidR="008B6867" w:rsidRDefault="008B6867" w:rsidP="004675BD">
            <w:pPr>
              <w:jc w:val="center"/>
            </w:pPr>
          </w:p>
          <w:p w:rsidR="008B6867" w:rsidRDefault="008B6867" w:rsidP="004675BD">
            <w:pPr>
              <w:jc w:val="center"/>
            </w:pPr>
            <w:r>
              <w:t>6 P.</w:t>
            </w:r>
          </w:p>
          <w:p w:rsidR="008B6867" w:rsidRDefault="008B6867" w:rsidP="004675BD">
            <w:pPr>
              <w:jc w:val="center"/>
            </w:pPr>
          </w:p>
          <w:p w:rsidR="008B6867" w:rsidRDefault="008B6867" w:rsidP="004675BD">
            <w:pPr>
              <w:jc w:val="center"/>
            </w:pPr>
            <w:r>
              <w:t>4 P.</w:t>
            </w:r>
          </w:p>
          <w:p w:rsidR="008B6867" w:rsidRDefault="008B6867" w:rsidP="004675BD">
            <w:pPr>
              <w:jc w:val="center"/>
            </w:pPr>
          </w:p>
          <w:p w:rsidR="008B6867" w:rsidRDefault="008B6867" w:rsidP="004675BD">
            <w:pPr>
              <w:jc w:val="center"/>
            </w:pPr>
          </w:p>
          <w:p w:rsidR="008B6867" w:rsidRDefault="008B6867" w:rsidP="004675BD">
            <w:pPr>
              <w:jc w:val="center"/>
            </w:pPr>
            <w:r>
              <w:t>3 P.</w:t>
            </w:r>
          </w:p>
          <w:p w:rsidR="008B6867" w:rsidRDefault="008B6867" w:rsidP="004675BD">
            <w:pPr>
              <w:jc w:val="center"/>
            </w:pPr>
          </w:p>
          <w:p w:rsidR="008B6867" w:rsidRDefault="008B6867" w:rsidP="004675BD">
            <w:pPr>
              <w:jc w:val="center"/>
            </w:pPr>
          </w:p>
          <w:p w:rsidR="008B6867" w:rsidRPr="003C39DC" w:rsidRDefault="008B6867" w:rsidP="004675BD">
            <w:pPr>
              <w:jc w:val="center"/>
            </w:pPr>
            <w:r>
              <w:t>7 P.</w:t>
            </w:r>
          </w:p>
        </w:tc>
      </w:tr>
    </w:tbl>
    <w:p w:rsidR="008B6867" w:rsidRDefault="008B6867" w:rsidP="008B6867">
      <w:pPr>
        <w:pStyle w:val="ekvgrundtexthalbe"/>
      </w:pPr>
    </w:p>
    <w:p w:rsidR="006C3085" w:rsidRDefault="008B6867" w:rsidP="008B6867">
      <w:pPr>
        <w:jc w:val="right"/>
      </w:pPr>
      <w:r>
        <w:t xml:space="preserve">Punkte: </w:t>
      </w:r>
      <w:r w:rsidR="00E60849" w:rsidRPr="00E60849">
        <w:t>30</w:t>
      </w:r>
    </w:p>
    <w:sectPr w:rsidR="006C3085" w:rsidSect="00EC1FF0">
      <w:footerReference w:type="default" r:id="rId7"/>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36" w:rsidRDefault="00B83636" w:rsidP="003C599D">
      <w:pPr>
        <w:spacing w:line="240" w:lineRule="auto"/>
      </w:pPr>
      <w:r>
        <w:separator/>
      </w:r>
    </w:p>
  </w:endnote>
  <w:endnote w:type="continuationSeparator" w:id="0">
    <w:p w:rsidR="00B83636" w:rsidRDefault="00B8363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99" w:type="dxa"/>
      <w:tblInd w:w="-822" w:type="dxa"/>
      <w:tblLayout w:type="fixed"/>
      <w:tblCellMar>
        <w:left w:w="0" w:type="dxa"/>
        <w:right w:w="0" w:type="dxa"/>
      </w:tblCellMar>
      <w:tblLook w:val="01E0" w:firstRow="1" w:lastRow="1" w:firstColumn="1" w:lastColumn="1" w:noHBand="0" w:noVBand="0"/>
    </w:tblPr>
    <w:tblGrid>
      <w:gridCol w:w="864"/>
      <w:gridCol w:w="3570"/>
      <w:gridCol w:w="4467"/>
      <w:gridCol w:w="2098"/>
    </w:tblGrid>
    <w:tr w:rsidR="00193A18" w:rsidRPr="00F42294" w:rsidTr="00C1777A">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59D30F10" wp14:editId="10F5AE9C">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AB230B">
          <w:pPr>
            <w:pStyle w:val="ekvpagina"/>
          </w:pPr>
          <w:r w:rsidRPr="00913892">
            <w:t>© Ernst Klett Verlag GmbH, Stuttgart 201</w:t>
          </w:r>
          <w:r w:rsidR="00AB230B">
            <w:t>9</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4467" w:type="dxa"/>
          <w:noWrap/>
        </w:tcPr>
        <w:p w:rsidR="002F7FD8" w:rsidRPr="004136AD" w:rsidRDefault="002F7FD8" w:rsidP="002F7FD8">
          <w:pPr>
            <w:pStyle w:val="ekvquelle"/>
          </w:pPr>
          <w:r>
            <w:t>Autor</w:t>
          </w:r>
          <w:r w:rsidRPr="004136AD">
            <w:t xml:space="preserve">: </w:t>
          </w:r>
          <w:r>
            <w:t>Wilhelm Overkamp</w:t>
          </w:r>
        </w:p>
        <w:p w:rsidR="00193A18" w:rsidRPr="00913892" w:rsidRDefault="00193A18" w:rsidP="002F7FD8">
          <w:pPr>
            <w:pStyle w:val="ekvquelle"/>
            <w:ind w:left="0"/>
          </w:pPr>
        </w:p>
      </w:tc>
      <w:tc>
        <w:tcPr>
          <w:tcW w:w="2098" w:type="dxa"/>
        </w:tcPr>
        <w:p w:rsidR="009F3104" w:rsidRPr="00833130" w:rsidRDefault="009F3104" w:rsidP="009F3104">
          <w:pPr>
            <w:pStyle w:val="ekvpagina"/>
            <w:rPr>
              <w:b/>
              <w:bCs/>
            </w:rPr>
          </w:pPr>
          <w:r w:rsidRPr="00833130">
            <w:rPr>
              <w:b/>
              <w:bCs/>
            </w:rPr>
            <w:t xml:space="preserve">Klassenarbeitsvorschlag Kapitel </w:t>
          </w:r>
          <w:r>
            <w:rPr>
              <w:b/>
              <w:bCs/>
            </w:rPr>
            <w:t>3</w:t>
          </w:r>
        </w:p>
        <w:p w:rsidR="00193A18" w:rsidRPr="00913892" w:rsidRDefault="009F3104" w:rsidP="009F3104">
          <w:pPr>
            <w:pStyle w:val="ekvpagina"/>
          </w:pPr>
          <w:r>
            <w:t>Markt und Marketing</w:t>
          </w: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36" w:rsidRDefault="00B83636" w:rsidP="003C599D">
      <w:pPr>
        <w:spacing w:line="240" w:lineRule="auto"/>
      </w:pPr>
      <w:r>
        <w:separator/>
      </w:r>
    </w:p>
  </w:footnote>
  <w:footnote w:type="continuationSeparator" w:id="0">
    <w:p w:rsidR="00B83636" w:rsidRDefault="00B83636"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36"/>
    <w:rsid w:val="000040E2"/>
    <w:rsid w:val="0001210D"/>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2156"/>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2F7FD8"/>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B17DA"/>
    <w:rsid w:val="004E3969"/>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3085"/>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4C6A"/>
    <w:rsid w:val="00882053"/>
    <w:rsid w:val="008942A2"/>
    <w:rsid w:val="0089534A"/>
    <w:rsid w:val="008A529C"/>
    <w:rsid w:val="008B446A"/>
    <w:rsid w:val="008B5E47"/>
    <w:rsid w:val="008B6867"/>
    <w:rsid w:val="008C0880"/>
    <w:rsid w:val="008C27FD"/>
    <w:rsid w:val="008D3CE0"/>
    <w:rsid w:val="008D7FDC"/>
    <w:rsid w:val="008E4B7A"/>
    <w:rsid w:val="008E6248"/>
    <w:rsid w:val="008F6EDE"/>
    <w:rsid w:val="00902002"/>
    <w:rsid w:val="00902CEB"/>
    <w:rsid w:val="009064C0"/>
    <w:rsid w:val="009078CB"/>
    <w:rsid w:val="00907EC2"/>
    <w:rsid w:val="009123AA"/>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9F3104"/>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230B"/>
    <w:rsid w:val="00AB5327"/>
    <w:rsid w:val="00AB6AE5"/>
    <w:rsid w:val="00AB7619"/>
    <w:rsid w:val="00AC01E7"/>
    <w:rsid w:val="00AC7B89"/>
    <w:rsid w:val="00AD3338"/>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3636"/>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77A"/>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C4BC4"/>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0849"/>
    <w:rsid w:val="00E6190A"/>
    <w:rsid w:val="00E63251"/>
    <w:rsid w:val="00E70C40"/>
    <w:rsid w:val="00E710C7"/>
    <w:rsid w:val="00E80DED"/>
    <w:rsid w:val="00E81EBD"/>
    <w:rsid w:val="00E95ED3"/>
    <w:rsid w:val="00EA7542"/>
    <w:rsid w:val="00EB2280"/>
    <w:rsid w:val="00EC1621"/>
    <w:rsid w:val="00EC1F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4635A"/>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genfe\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2247</Characters>
  <Application>Microsoft Office Word</Application>
  <DocSecurity>0</DocSecurity>
  <Lines>132</Lines>
  <Paragraphs>111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3</cp:revision>
  <cp:lastPrinted>2016-12-23T16:36:00Z</cp:lastPrinted>
  <dcterms:created xsi:type="dcterms:W3CDTF">2019-07-02T13:35:00Z</dcterms:created>
  <dcterms:modified xsi:type="dcterms:W3CDTF">2019-07-04T06:48:00Z</dcterms:modified>
</cp:coreProperties>
</file>