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1036"/>
        <w:gridCol w:w="299"/>
        <w:gridCol w:w="4256"/>
        <w:gridCol w:w="1552"/>
        <w:gridCol w:w="2600"/>
        <w:gridCol w:w="1002"/>
        <w:gridCol w:w="255"/>
      </w:tblGrid>
      <w:tr w:rsidR="00505D5B" w:rsidRPr="00C172AE" w:rsidTr="00E16012">
        <w:trPr>
          <w:trHeight w:hRule="exact" w:val="510"/>
        </w:trPr>
        <w:tc>
          <w:tcPr>
            <w:tcW w:w="1036" w:type="dxa"/>
            <w:vMerge w:val="restart"/>
            <w:tcBorders>
              <w:top w:val="nil"/>
              <w:right w:val="nil"/>
            </w:tcBorders>
            <w:noWrap/>
          </w:tcPr>
          <w:p w:rsidR="00505D5B" w:rsidRPr="00AE65F6" w:rsidRDefault="00FB6BA1" w:rsidP="009E3778">
            <w:pPr>
              <w:pStyle w:val="ekvkapitelweiss"/>
              <w:pageBreakBefore/>
            </w:pPr>
            <w:r>
              <w:t>5</w:t>
            </w:r>
            <w:bookmarkStart w:id="0" w:name="_GoBack"/>
            <w:bookmarkEnd w:id="0"/>
          </w:p>
        </w:tc>
        <w:tc>
          <w:tcPr>
            <w:tcW w:w="299" w:type="dxa"/>
            <w:tcBorders>
              <w:top w:val="nil"/>
              <w:left w:val="nil"/>
              <w:bottom w:val="nil"/>
              <w:right w:val="nil"/>
            </w:tcBorders>
            <w:noWrap/>
            <w:vAlign w:val="bottom"/>
          </w:tcPr>
          <w:p w:rsidR="00505D5B" w:rsidRPr="00CD1642" w:rsidRDefault="00505D5B" w:rsidP="009E3778">
            <w:pPr>
              <w:pageBreakBefore/>
            </w:pPr>
          </w:p>
        </w:tc>
        <w:tc>
          <w:tcPr>
            <w:tcW w:w="4256" w:type="dxa"/>
            <w:tcBorders>
              <w:top w:val="nil"/>
              <w:left w:val="nil"/>
              <w:bottom w:val="nil"/>
              <w:right w:val="nil"/>
            </w:tcBorders>
            <w:vAlign w:val="bottom"/>
          </w:tcPr>
          <w:p w:rsidR="00505D5B" w:rsidRPr="007C1230" w:rsidRDefault="00E16012" w:rsidP="007C1230">
            <w:pPr>
              <w:pStyle w:val="ekvkolumnentitel"/>
            </w:pPr>
            <w:r>
              <w:t>Lösungen</w:t>
            </w:r>
          </w:p>
        </w:tc>
        <w:tc>
          <w:tcPr>
            <w:tcW w:w="1552" w:type="dxa"/>
            <w:tcBorders>
              <w:top w:val="nil"/>
              <w:left w:val="nil"/>
              <w:bottom w:val="nil"/>
              <w:right w:val="nil"/>
            </w:tcBorders>
            <w:noWrap/>
            <w:vAlign w:val="bottom"/>
          </w:tcPr>
          <w:p w:rsidR="00505D5B" w:rsidRPr="007C1230" w:rsidRDefault="00505D5B" w:rsidP="007C1230">
            <w:pPr>
              <w:pStyle w:val="ekvkolumnentitel"/>
            </w:pPr>
          </w:p>
        </w:tc>
        <w:tc>
          <w:tcPr>
            <w:tcW w:w="2600" w:type="dxa"/>
            <w:tcBorders>
              <w:top w:val="nil"/>
              <w:left w:val="nil"/>
              <w:bottom w:val="nil"/>
              <w:right w:val="nil"/>
            </w:tcBorders>
            <w:noWrap/>
            <w:vAlign w:val="bottom"/>
          </w:tcPr>
          <w:p w:rsidR="00505D5B" w:rsidRPr="007C1230" w:rsidRDefault="00505D5B" w:rsidP="007C1230">
            <w:pPr>
              <w:pStyle w:val="ekvkolumnentitel"/>
            </w:pPr>
          </w:p>
        </w:tc>
        <w:tc>
          <w:tcPr>
            <w:tcW w:w="1002" w:type="dxa"/>
            <w:tcBorders>
              <w:top w:val="nil"/>
              <w:left w:val="nil"/>
              <w:bottom w:val="nil"/>
              <w:right w:val="nil"/>
            </w:tcBorders>
            <w:noWrap/>
            <w:vAlign w:val="bottom"/>
          </w:tcPr>
          <w:p w:rsidR="00505D5B" w:rsidRPr="007C1230" w:rsidRDefault="00E16012" w:rsidP="005B558C">
            <w:pPr>
              <w:pStyle w:val="ekvkvnummer"/>
            </w:pPr>
            <w:r>
              <w:t>1/2</w:t>
            </w:r>
          </w:p>
        </w:tc>
        <w:tc>
          <w:tcPr>
            <w:tcW w:w="255" w:type="dxa"/>
            <w:tcBorders>
              <w:top w:val="nil"/>
              <w:left w:val="nil"/>
              <w:bottom w:val="nil"/>
              <w:right w:val="nil"/>
            </w:tcBorders>
            <w:vAlign w:val="bottom"/>
          </w:tcPr>
          <w:p w:rsidR="00505D5B" w:rsidRPr="007C1230" w:rsidRDefault="00505D5B" w:rsidP="006C5E7A">
            <w:pPr>
              <w:pStyle w:val="ekvkvnummer"/>
            </w:pPr>
          </w:p>
        </w:tc>
      </w:tr>
      <w:tr w:rsidR="00505D5B" w:rsidRPr="00BF17F2" w:rsidTr="00E16012">
        <w:tblPrEx>
          <w:tblCellMar>
            <w:left w:w="70" w:type="dxa"/>
            <w:right w:w="70" w:type="dxa"/>
          </w:tblCellMar>
          <w:tblLook w:val="0000" w:firstRow="0" w:lastRow="0" w:firstColumn="0" w:lastColumn="0" w:noHBand="0" w:noVBand="0"/>
        </w:tblPrEx>
        <w:trPr>
          <w:trHeight w:hRule="exact" w:val="794"/>
        </w:trPr>
        <w:tc>
          <w:tcPr>
            <w:tcW w:w="1036" w:type="dxa"/>
            <w:vMerge/>
            <w:tcBorders>
              <w:bottom w:val="nil"/>
              <w:right w:val="nil"/>
            </w:tcBorders>
            <w:noWrap/>
          </w:tcPr>
          <w:p w:rsidR="00505D5B" w:rsidRPr="00BF17F2" w:rsidRDefault="00505D5B" w:rsidP="00AE65F6">
            <w:pPr>
              <w:rPr>
                <w:color w:val="FFFFFF" w:themeColor="background1"/>
              </w:rPr>
            </w:pPr>
          </w:p>
        </w:tc>
        <w:tc>
          <w:tcPr>
            <w:tcW w:w="299" w:type="dxa"/>
            <w:tcBorders>
              <w:top w:val="nil"/>
              <w:left w:val="nil"/>
              <w:bottom w:val="nil"/>
              <w:right w:val="nil"/>
            </w:tcBorders>
            <w:noWrap/>
            <w:vAlign w:val="bottom"/>
          </w:tcPr>
          <w:p w:rsidR="00505D5B" w:rsidRPr="00CD1642" w:rsidRDefault="00505D5B" w:rsidP="00A25759"/>
        </w:tc>
        <w:tc>
          <w:tcPr>
            <w:tcW w:w="9410" w:type="dxa"/>
            <w:gridSpan w:val="4"/>
            <w:tcBorders>
              <w:left w:val="nil"/>
              <w:bottom w:val="nil"/>
              <w:right w:val="nil"/>
            </w:tcBorders>
            <w:vAlign w:val="bottom"/>
          </w:tcPr>
          <w:p w:rsidR="00505D5B" w:rsidRPr="00BF17F2" w:rsidRDefault="00505D5B" w:rsidP="00037566">
            <w:pPr>
              <w:rPr>
                <w:color w:val="FFFFFF" w:themeColor="background1"/>
              </w:rPr>
            </w:pPr>
          </w:p>
        </w:tc>
        <w:tc>
          <w:tcPr>
            <w:tcW w:w="255" w:type="dxa"/>
            <w:tcBorders>
              <w:top w:val="nil"/>
              <w:left w:val="nil"/>
              <w:bottom w:val="nil"/>
            </w:tcBorders>
            <w:vAlign w:val="bottom"/>
          </w:tcPr>
          <w:p w:rsidR="00505D5B" w:rsidRPr="00BF17F2" w:rsidRDefault="00505D5B" w:rsidP="00037566">
            <w:pPr>
              <w:rPr>
                <w:color w:val="FFFFFF" w:themeColor="background1"/>
              </w:rPr>
            </w:pPr>
          </w:p>
        </w:tc>
      </w:tr>
    </w:tbl>
    <w:p w:rsidR="00E16012" w:rsidRDefault="006E01B3" w:rsidP="00E16012">
      <w:pPr>
        <w:pStyle w:val="ekvue1arial"/>
      </w:pPr>
      <w:r>
        <w:t>Landwirte versorgen uns</w:t>
      </w:r>
    </w:p>
    <w:p w:rsidR="00E16012" w:rsidRDefault="00E16012" w:rsidP="00E16012">
      <w:pPr>
        <w:pStyle w:val="ekvue3arial"/>
      </w:pPr>
    </w:p>
    <w:p w:rsidR="00E16012" w:rsidRPr="00E16012" w:rsidRDefault="00E16012" w:rsidP="00E16012">
      <w:pPr>
        <w:pStyle w:val="ekvue2arial"/>
      </w:pPr>
      <w:r>
        <w:t xml:space="preserve">Training </w:t>
      </w:r>
      <w:r w:rsidRPr="00E16012">
        <w:t>→</w:t>
      </w:r>
      <w:r w:rsidRPr="00E16012">
        <w:t> </w:t>
      </w:r>
      <w:r w:rsidRPr="00E16012">
        <w:t xml:space="preserve">Schülerbuch S. </w:t>
      </w:r>
      <w:r w:rsidR="006E01B3">
        <w:t>118</w:t>
      </w:r>
      <w:r w:rsidRPr="00E16012">
        <w:t>/</w:t>
      </w:r>
      <w:r w:rsidR="006E01B3">
        <w:t>119</w:t>
      </w:r>
    </w:p>
    <w:p w:rsidR="00E16012" w:rsidRDefault="00E16012" w:rsidP="00E16012">
      <w:pPr>
        <w:pStyle w:val="ekvue3arial"/>
      </w:pPr>
    </w:p>
    <w:p w:rsidR="00E16012" w:rsidRDefault="00E16012" w:rsidP="00E16012">
      <w:pPr>
        <w:pStyle w:val="ekvue3arial"/>
      </w:pPr>
    </w:p>
    <w:p w:rsidR="00E16012" w:rsidRPr="00E16012" w:rsidRDefault="00E16012" w:rsidP="00E16012">
      <w:pPr>
        <w:pStyle w:val="ekvue3arial"/>
      </w:pPr>
      <w:r w:rsidRPr="00E16012">
        <w:t>Lösung der Aufgaben</w:t>
      </w:r>
    </w:p>
    <w:p w:rsidR="00E16012" w:rsidRDefault="00E16012" w:rsidP="00E16012">
      <w:pPr>
        <w:pStyle w:val="ekvgrundtext"/>
      </w:pPr>
    </w:p>
    <w:p w:rsidR="00D012BB" w:rsidRPr="00D17A04" w:rsidRDefault="00D012BB" w:rsidP="00D17A04">
      <w:pPr>
        <w:pStyle w:val="ekvaufzhlung"/>
      </w:pPr>
      <w:r w:rsidRPr="00D17A04">
        <w:rPr>
          <w:rStyle w:val="ekvfett"/>
        </w:rPr>
        <w:t>1</w:t>
      </w:r>
      <w:r w:rsidRPr="00D17A04">
        <w:tab/>
        <w:t>Es handelt sich um einen Gemischtbetrieb</w:t>
      </w:r>
    </w:p>
    <w:p w:rsidR="00D012BB" w:rsidRPr="00D17A04" w:rsidRDefault="00D012BB" w:rsidP="00D17A04">
      <w:pPr>
        <w:pStyle w:val="ekvaufzhlung"/>
      </w:pPr>
    </w:p>
    <w:p w:rsidR="00D012BB" w:rsidRPr="00D17A04" w:rsidRDefault="00D012BB" w:rsidP="00D17A04">
      <w:pPr>
        <w:pStyle w:val="ekvaufzhlung"/>
      </w:pPr>
      <w:r w:rsidRPr="00D17A04">
        <w:rPr>
          <w:rStyle w:val="ekvfett"/>
        </w:rPr>
        <w:t>2a</w:t>
      </w:r>
      <w:r w:rsidRPr="00D17A04">
        <w:tab/>
        <w:t>Falsch. Als Flüssigmist der Massentierhaltung entsteht die Gülle weder in Betrieben ohne Tierhaltung noch in Betrieben, in denen die Tiere auf Stroh lagern.</w:t>
      </w:r>
    </w:p>
    <w:p w:rsidR="00D012BB" w:rsidRPr="00D17A04" w:rsidRDefault="00D012BB" w:rsidP="00D17A04">
      <w:pPr>
        <w:pStyle w:val="ekvaufzhlung"/>
      </w:pPr>
      <w:r w:rsidRPr="00D17A04">
        <w:rPr>
          <w:rStyle w:val="ekvfett"/>
        </w:rPr>
        <w:t>2b</w:t>
      </w:r>
      <w:r w:rsidRPr="00D17A04">
        <w:tab/>
        <w:t>Falsch. Weizen ist eine anspruchsvolle Pflanze. Sie bringt gute Erträge auf nicht zu feuchten, nährstoffreichen Böden.</w:t>
      </w:r>
    </w:p>
    <w:p w:rsidR="00D012BB" w:rsidRPr="00D17A04" w:rsidRDefault="00D012BB" w:rsidP="00D17A04">
      <w:pPr>
        <w:pStyle w:val="ekvaufzhlung"/>
      </w:pPr>
      <w:r w:rsidRPr="00D17A04">
        <w:rPr>
          <w:rStyle w:val="ekvfett"/>
        </w:rPr>
        <w:t>2c</w:t>
      </w:r>
      <w:r w:rsidRPr="00D17A04">
        <w:tab/>
        <w:t>Richtig</w:t>
      </w:r>
    </w:p>
    <w:p w:rsidR="00D012BB" w:rsidRPr="00D17A04" w:rsidRDefault="00D012BB" w:rsidP="00D17A04">
      <w:pPr>
        <w:pStyle w:val="ekvaufzhlung"/>
      </w:pPr>
    </w:p>
    <w:p w:rsidR="00D012BB" w:rsidRPr="00D17A04" w:rsidRDefault="00D012BB" w:rsidP="00D17A04">
      <w:pPr>
        <w:pStyle w:val="ekvaufzhlung"/>
      </w:pPr>
      <w:r w:rsidRPr="00D17A04">
        <w:rPr>
          <w:rStyle w:val="ekvfett"/>
        </w:rPr>
        <w:t>3a</w:t>
      </w:r>
      <w:r w:rsidRPr="00D17A04">
        <w:tab/>
        <w:t>Fruchtwechsel</w:t>
      </w:r>
    </w:p>
    <w:p w:rsidR="00D012BB" w:rsidRPr="00D17A04" w:rsidRDefault="00D012BB" w:rsidP="00D17A04">
      <w:pPr>
        <w:pStyle w:val="ekvaufzhlung"/>
      </w:pPr>
      <w:r w:rsidRPr="00D17A04">
        <w:rPr>
          <w:rStyle w:val="ekvfett"/>
        </w:rPr>
        <w:t>3b</w:t>
      </w:r>
      <w:r w:rsidRPr="00D17A04">
        <w:tab/>
        <w:t>Börde</w:t>
      </w:r>
    </w:p>
    <w:p w:rsidR="00D012BB" w:rsidRPr="00D17A04" w:rsidRDefault="00D012BB" w:rsidP="00D17A04">
      <w:pPr>
        <w:pStyle w:val="ekvaufzhlung"/>
      </w:pPr>
      <w:r w:rsidRPr="00D17A04">
        <w:rPr>
          <w:rStyle w:val="ekvfett"/>
        </w:rPr>
        <w:t>3c</w:t>
      </w:r>
      <w:r w:rsidRPr="00D17A04">
        <w:tab/>
        <w:t>Milchviehhaltung in Futterbaubetrieben</w:t>
      </w:r>
    </w:p>
    <w:p w:rsidR="00D012BB" w:rsidRPr="00D17A04" w:rsidRDefault="00D012BB" w:rsidP="00D17A04">
      <w:pPr>
        <w:pStyle w:val="ekvaufzhlung"/>
      </w:pPr>
      <w:r w:rsidRPr="00D17A04">
        <w:rPr>
          <w:rStyle w:val="ekvfett"/>
        </w:rPr>
        <w:t>3d</w:t>
      </w:r>
      <w:r w:rsidRPr="00D17A04">
        <w:tab/>
        <w:t>Gemüsebaubetrieb</w:t>
      </w:r>
    </w:p>
    <w:p w:rsidR="00D012BB" w:rsidRPr="00D17A04" w:rsidRDefault="00D012BB" w:rsidP="00D17A04">
      <w:pPr>
        <w:pStyle w:val="ekvaufzhlung"/>
      </w:pPr>
    </w:p>
    <w:p w:rsidR="00D012BB" w:rsidRPr="00D17A04" w:rsidRDefault="00D012BB" w:rsidP="00D17A04">
      <w:pPr>
        <w:pStyle w:val="ekvaufzhlung"/>
      </w:pPr>
      <w:r w:rsidRPr="00D17A04">
        <w:rPr>
          <w:rStyle w:val="ekvfett"/>
        </w:rPr>
        <w:t>4</w:t>
      </w:r>
      <w:r w:rsidRPr="00D17A04">
        <w:tab/>
        <w:t>Mastvieh: Nutztiere, die zur Fleischerzeugung gehalten und bis zum Erreichen des Schlachtgewichtes gemästet werden.</w:t>
      </w:r>
    </w:p>
    <w:p w:rsidR="00D012BB" w:rsidRPr="00D17A04" w:rsidRDefault="00D012BB" w:rsidP="00D17A04">
      <w:pPr>
        <w:pStyle w:val="ekvaufzhlung"/>
      </w:pPr>
    </w:p>
    <w:p w:rsidR="00D012BB" w:rsidRPr="00D17A04" w:rsidRDefault="00D012BB" w:rsidP="00D17A04">
      <w:pPr>
        <w:pStyle w:val="ekvaufzhlung"/>
      </w:pPr>
      <w:r w:rsidRPr="00D17A04">
        <w:rPr>
          <w:rStyle w:val="ekvfett"/>
        </w:rPr>
        <w:t>5</w:t>
      </w:r>
      <w:r w:rsidRPr="00D17A04">
        <w:tab/>
        <w:t>A = Veredelungsbetrieb, da kein besonders fruchtbarer Boden vorhanden ist und die Nähe zum Schlachthof und zum Hafen gegeben ist.</w:t>
      </w:r>
    </w:p>
    <w:p w:rsidR="00D012BB" w:rsidRPr="00D17A04" w:rsidRDefault="00D012BB" w:rsidP="00D17A04">
      <w:pPr>
        <w:pStyle w:val="ekvaufzhlung"/>
      </w:pPr>
      <w:r w:rsidRPr="00D17A04">
        <w:tab/>
      </w:r>
      <w:r w:rsidRPr="00D17A04">
        <w:br/>
        <w:t>B = Futterbaubetrieb, da aufgrund der hohen Niederschläge und des weniger guten Bodens die anderen Betriebsformen dort keine guten Erträge erzielen würden.</w:t>
      </w:r>
    </w:p>
    <w:p w:rsidR="00D012BB" w:rsidRPr="00D17A04" w:rsidRDefault="00D012BB" w:rsidP="00D17A04">
      <w:pPr>
        <w:pStyle w:val="ekvaufzhlung"/>
      </w:pPr>
      <w:r w:rsidRPr="00D17A04">
        <w:tab/>
      </w:r>
      <w:r w:rsidRPr="00D17A04">
        <w:br/>
        <w:t>C = Gemüsebaubetrieb, da sowohl fruchtbarer Boden als auch mit den Städten ein großer Absatzmarkt vorhanden sind.</w:t>
      </w:r>
    </w:p>
    <w:p w:rsidR="00D012BB" w:rsidRPr="00D17A04" w:rsidRDefault="00D012BB" w:rsidP="00D17A04">
      <w:pPr>
        <w:pStyle w:val="ekvaufzhlung"/>
      </w:pPr>
      <w:r w:rsidRPr="00D17A04">
        <w:tab/>
      </w:r>
      <w:r w:rsidRPr="00D17A04">
        <w:br/>
        <w:t>D = Marktfruchtbetrieb, da es dort fruchtbaren Boden gibt und mit der Zuckerfabrik ein Abnehmer für die Zuckerrüben in der Nähe liegt.</w:t>
      </w:r>
    </w:p>
    <w:p w:rsidR="00D17A04" w:rsidRDefault="00D17A04" w:rsidP="00D17A04">
      <w:pPr>
        <w:pStyle w:val="ekvaufzhlung"/>
      </w:pPr>
    </w:p>
    <w:p w:rsidR="00D012BB" w:rsidRDefault="00D012BB" w:rsidP="00D17A04">
      <w:pPr>
        <w:pStyle w:val="ekvaufzhlung"/>
      </w:pPr>
      <w:r w:rsidRPr="00D17A04">
        <w:rPr>
          <w:rStyle w:val="ekvfett"/>
        </w:rPr>
        <w:t>6</w:t>
      </w:r>
      <w:r w:rsidRPr="00D17A04">
        <w:tab/>
        <w:t>Die Argumente sind vielfältig. Beispielhafte Nennungen könnten sein:</w:t>
      </w:r>
    </w:p>
    <w:p w:rsidR="006E01B3" w:rsidRPr="00D17A04" w:rsidRDefault="006E01B3" w:rsidP="00D17A04">
      <w:pPr>
        <w:pStyle w:val="ekvaufzhlung"/>
      </w:pPr>
    </w:p>
    <w:tbl>
      <w:tblPr>
        <w:tblStyle w:val="FarbigeListe-Akzent3"/>
        <w:tblW w:w="0" w:type="auto"/>
        <w:tblInd w:w="108" w:type="dxa"/>
        <w:tblLayout w:type="fixed"/>
        <w:tblLook w:val="0000" w:firstRow="0" w:lastRow="0" w:firstColumn="0" w:lastColumn="0" w:noHBand="0" w:noVBand="0"/>
      </w:tblPr>
      <w:tblGrid>
        <w:gridCol w:w="3686"/>
        <w:gridCol w:w="4111"/>
      </w:tblGrid>
      <w:tr w:rsidR="006E01B3" w:rsidRPr="006E01B3" w:rsidTr="006E01B3">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3686" w:type="dxa"/>
          </w:tcPr>
          <w:p w:rsidR="00D17A04" w:rsidRPr="006E01B3" w:rsidRDefault="00D17A04" w:rsidP="006E01B3">
            <w:pPr>
              <w:pStyle w:val="ekvtabelle"/>
              <w:rPr>
                <w:rStyle w:val="ekvfett"/>
              </w:rPr>
            </w:pPr>
            <w:r w:rsidRPr="006E01B3">
              <w:rPr>
                <w:rStyle w:val="ekvfett"/>
              </w:rPr>
              <w:t>Pro</w:t>
            </w:r>
          </w:p>
        </w:tc>
        <w:tc>
          <w:tcPr>
            <w:tcW w:w="4111" w:type="dxa"/>
          </w:tcPr>
          <w:p w:rsidR="00D17A04" w:rsidRPr="006E01B3" w:rsidRDefault="00D17A04" w:rsidP="006E01B3">
            <w:pPr>
              <w:pStyle w:val="ekvtabelle"/>
              <w:cnfStyle w:val="000000100000" w:firstRow="0" w:lastRow="0" w:firstColumn="0" w:lastColumn="0" w:oddVBand="0" w:evenVBand="0" w:oddHBand="1" w:evenHBand="0" w:firstRowFirstColumn="0" w:firstRowLastColumn="0" w:lastRowFirstColumn="0" w:lastRowLastColumn="0"/>
              <w:rPr>
                <w:rStyle w:val="ekvfett"/>
              </w:rPr>
            </w:pPr>
            <w:r w:rsidRPr="006E01B3">
              <w:rPr>
                <w:rStyle w:val="ekvfett"/>
              </w:rPr>
              <w:t>Kontra</w:t>
            </w:r>
          </w:p>
        </w:tc>
      </w:tr>
      <w:tr w:rsidR="006E01B3" w:rsidRPr="006E01B3" w:rsidTr="006E01B3">
        <w:trPr>
          <w:trHeight w:val="60"/>
        </w:trPr>
        <w:tc>
          <w:tcPr>
            <w:cnfStyle w:val="000010000000" w:firstRow="0" w:lastRow="0" w:firstColumn="0" w:lastColumn="0" w:oddVBand="1" w:evenVBand="0" w:oddHBand="0" w:evenHBand="0" w:firstRowFirstColumn="0" w:firstRowLastColumn="0" w:lastRowFirstColumn="0" w:lastRowLastColumn="0"/>
            <w:tcW w:w="3686" w:type="dxa"/>
            <w:shd w:val="clear" w:color="auto" w:fill="FFFFFF" w:themeFill="background1"/>
          </w:tcPr>
          <w:p w:rsidR="00D17A04" w:rsidRPr="006E01B3" w:rsidRDefault="00D17A04" w:rsidP="006E01B3">
            <w:pPr>
              <w:pStyle w:val="ekvtabelle"/>
            </w:pPr>
            <w:r w:rsidRPr="006E01B3">
              <w:t>viel Fleisch für wenig Geld</w:t>
            </w:r>
          </w:p>
        </w:tc>
        <w:tc>
          <w:tcPr>
            <w:tcW w:w="4111" w:type="dxa"/>
            <w:shd w:val="clear" w:color="auto" w:fill="FFFFFF" w:themeFill="background1"/>
          </w:tcPr>
          <w:p w:rsidR="00D17A04" w:rsidRPr="006E01B3" w:rsidRDefault="00D17A04" w:rsidP="006E01B3">
            <w:pPr>
              <w:pStyle w:val="ekvtabelle"/>
              <w:cnfStyle w:val="000000000000" w:firstRow="0" w:lastRow="0" w:firstColumn="0" w:lastColumn="0" w:oddVBand="0" w:evenVBand="0" w:oddHBand="0" w:evenHBand="0" w:firstRowFirstColumn="0" w:firstRowLastColumn="0" w:lastRowFirstColumn="0" w:lastRowLastColumn="0"/>
            </w:pPr>
            <w:r w:rsidRPr="006E01B3">
              <w:t>wenig Qualität für das Geld</w:t>
            </w:r>
          </w:p>
        </w:tc>
      </w:tr>
      <w:tr w:rsidR="006E01B3" w:rsidRPr="006E01B3" w:rsidTr="006E01B3">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3686" w:type="dxa"/>
            <w:shd w:val="clear" w:color="auto" w:fill="FFFFFF" w:themeFill="background1"/>
          </w:tcPr>
          <w:p w:rsidR="00D17A04" w:rsidRPr="006E01B3" w:rsidRDefault="00D17A04" w:rsidP="006E01B3">
            <w:pPr>
              <w:pStyle w:val="ekvtabelle"/>
            </w:pPr>
            <w:r w:rsidRPr="006E01B3">
              <w:t>nationale und internationale Konkurrenzfähigkeit gesichert</w:t>
            </w:r>
          </w:p>
        </w:tc>
        <w:tc>
          <w:tcPr>
            <w:tcW w:w="4111" w:type="dxa"/>
            <w:shd w:val="clear" w:color="auto" w:fill="FFFFFF" w:themeFill="background1"/>
          </w:tcPr>
          <w:p w:rsidR="00D17A04" w:rsidRPr="006E01B3" w:rsidRDefault="00D17A04" w:rsidP="006E01B3">
            <w:pPr>
              <w:pStyle w:val="ekvtabelle"/>
              <w:cnfStyle w:val="000000100000" w:firstRow="0" w:lastRow="0" w:firstColumn="0" w:lastColumn="0" w:oddVBand="0" w:evenVBand="0" w:oddHBand="1" w:evenHBand="0" w:firstRowFirstColumn="0" w:firstRowLastColumn="0" w:lastRowFirstColumn="0" w:lastRowLastColumn="0"/>
            </w:pPr>
            <w:r w:rsidRPr="006E01B3">
              <w:t>Umdenken der Verbraucher wird künftig Biobauern stützen</w:t>
            </w:r>
          </w:p>
        </w:tc>
      </w:tr>
      <w:tr w:rsidR="006E01B3" w:rsidRPr="006E01B3" w:rsidTr="006E01B3">
        <w:trPr>
          <w:trHeight w:val="60"/>
        </w:trPr>
        <w:tc>
          <w:tcPr>
            <w:cnfStyle w:val="000010000000" w:firstRow="0" w:lastRow="0" w:firstColumn="0" w:lastColumn="0" w:oddVBand="1" w:evenVBand="0" w:oddHBand="0" w:evenHBand="0" w:firstRowFirstColumn="0" w:firstRowLastColumn="0" w:lastRowFirstColumn="0" w:lastRowLastColumn="0"/>
            <w:tcW w:w="3686" w:type="dxa"/>
            <w:shd w:val="clear" w:color="auto" w:fill="FFFFFF" w:themeFill="background1"/>
          </w:tcPr>
          <w:p w:rsidR="00D17A04" w:rsidRPr="006E01B3" w:rsidRDefault="00D17A04" w:rsidP="006E01B3">
            <w:pPr>
              <w:pStyle w:val="ekvtabelle"/>
            </w:pPr>
            <w:r w:rsidRPr="006E01B3">
              <w:t>viel Produktion auf wenig Raum</w:t>
            </w:r>
          </w:p>
        </w:tc>
        <w:tc>
          <w:tcPr>
            <w:tcW w:w="4111" w:type="dxa"/>
            <w:shd w:val="clear" w:color="auto" w:fill="FFFFFF" w:themeFill="background1"/>
          </w:tcPr>
          <w:p w:rsidR="00D17A04" w:rsidRPr="006E01B3" w:rsidRDefault="00D17A04" w:rsidP="006E01B3">
            <w:pPr>
              <w:pStyle w:val="ekvtabelle"/>
              <w:cnfStyle w:val="000000000000" w:firstRow="0" w:lastRow="0" w:firstColumn="0" w:lastColumn="0" w:oddVBand="0" w:evenVBand="0" w:oddHBand="0" w:evenHBand="0" w:firstRowFirstColumn="0" w:firstRowLastColumn="0" w:lastRowFirstColumn="0" w:lastRowLastColumn="0"/>
            </w:pPr>
            <w:r w:rsidRPr="006E01B3">
              <w:t>Kreislauf des Betriebs nicht geschlossen – produziert mehr Gülle als tragbar</w:t>
            </w:r>
          </w:p>
        </w:tc>
      </w:tr>
      <w:tr w:rsidR="006E01B3" w:rsidRPr="006E01B3" w:rsidTr="006E01B3">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3686" w:type="dxa"/>
            <w:shd w:val="clear" w:color="auto" w:fill="FFFFFF" w:themeFill="background1"/>
          </w:tcPr>
          <w:p w:rsidR="00D17A04" w:rsidRPr="006E01B3" w:rsidRDefault="00D17A04" w:rsidP="006E01B3">
            <w:pPr>
              <w:pStyle w:val="ekvtabelle"/>
            </w:pPr>
            <w:r w:rsidRPr="006E01B3">
              <w:t>Tiere dienen der Fleischproduktion und sollten entsprechend gehalten werden</w:t>
            </w:r>
          </w:p>
        </w:tc>
        <w:tc>
          <w:tcPr>
            <w:tcW w:w="4111" w:type="dxa"/>
            <w:shd w:val="clear" w:color="auto" w:fill="FFFFFF" w:themeFill="background1"/>
          </w:tcPr>
          <w:p w:rsidR="00D17A04" w:rsidRPr="006E01B3" w:rsidRDefault="00D17A04" w:rsidP="006E01B3">
            <w:pPr>
              <w:pStyle w:val="ekvtabelle"/>
              <w:cnfStyle w:val="000000100000" w:firstRow="0" w:lastRow="0" w:firstColumn="0" w:lastColumn="0" w:oddVBand="0" w:evenVBand="0" w:oddHBand="1" w:evenHBand="0" w:firstRowFirstColumn="0" w:firstRowLastColumn="0" w:lastRowFirstColumn="0" w:lastRowLastColumn="0"/>
            </w:pPr>
            <w:r w:rsidRPr="006E01B3">
              <w:t>Tierschutz ist nicht ausreichend gewahrt</w:t>
            </w:r>
          </w:p>
        </w:tc>
      </w:tr>
      <w:tr w:rsidR="006E01B3" w:rsidRPr="006E01B3" w:rsidTr="006E01B3">
        <w:trPr>
          <w:trHeight w:val="60"/>
        </w:trPr>
        <w:tc>
          <w:tcPr>
            <w:cnfStyle w:val="000010000000" w:firstRow="0" w:lastRow="0" w:firstColumn="0" w:lastColumn="0" w:oddVBand="1" w:evenVBand="0" w:oddHBand="0" w:evenHBand="0" w:firstRowFirstColumn="0" w:firstRowLastColumn="0" w:lastRowFirstColumn="0" w:lastRowLastColumn="0"/>
            <w:tcW w:w="3686" w:type="dxa"/>
            <w:shd w:val="clear" w:color="auto" w:fill="FFFFFF" w:themeFill="background1"/>
          </w:tcPr>
          <w:p w:rsidR="00D17A04" w:rsidRPr="006E01B3" w:rsidRDefault="00D17A04" w:rsidP="006E01B3">
            <w:pPr>
              <w:pStyle w:val="ekvtabelle"/>
            </w:pPr>
            <w:r w:rsidRPr="006E01B3">
              <w:t>Massentierhaltung ermöglicht effizienten Einsatz an Medikamenten und Aufbaumitteln</w:t>
            </w:r>
          </w:p>
        </w:tc>
        <w:tc>
          <w:tcPr>
            <w:tcW w:w="4111" w:type="dxa"/>
            <w:shd w:val="clear" w:color="auto" w:fill="FFFFFF" w:themeFill="background1"/>
          </w:tcPr>
          <w:p w:rsidR="00D17A04" w:rsidRPr="006E01B3" w:rsidRDefault="00D17A04" w:rsidP="006E01B3">
            <w:pPr>
              <w:pStyle w:val="ekvtabelle"/>
              <w:cnfStyle w:val="000000000000" w:firstRow="0" w:lastRow="0" w:firstColumn="0" w:lastColumn="0" w:oddVBand="0" w:evenVBand="0" w:oddHBand="0" w:evenHBand="0" w:firstRowFirstColumn="0" w:firstRowLastColumn="0" w:lastRowFirstColumn="0" w:lastRowLastColumn="0"/>
            </w:pPr>
            <w:r w:rsidRPr="006E01B3">
              <w:t>Tiere oft physisch und psychisch krank</w:t>
            </w:r>
          </w:p>
        </w:tc>
      </w:tr>
    </w:tbl>
    <w:p w:rsidR="00D012BB" w:rsidRPr="00D17A04" w:rsidRDefault="00D012BB" w:rsidP="00D17A04">
      <w:pPr>
        <w:pStyle w:val="ekvaufzhlung"/>
      </w:pPr>
    </w:p>
    <w:tbl>
      <w:tblPr>
        <w:tblW w:w="11000" w:type="dxa"/>
        <w:tblInd w:w="-822" w:type="dxa"/>
        <w:tblBorders>
          <w:insideH w:val="single" w:sz="8" w:space="0" w:color="808080"/>
        </w:tblBorders>
        <w:tblLayout w:type="fixed"/>
        <w:tblLook w:val="01E0" w:firstRow="1" w:lastRow="1" w:firstColumn="1" w:lastColumn="1" w:noHBand="0" w:noVBand="0"/>
      </w:tblPr>
      <w:tblGrid>
        <w:gridCol w:w="1036"/>
        <w:gridCol w:w="299"/>
        <w:gridCol w:w="4256"/>
        <w:gridCol w:w="1552"/>
        <w:gridCol w:w="2600"/>
        <w:gridCol w:w="1002"/>
        <w:gridCol w:w="255"/>
      </w:tblGrid>
      <w:tr w:rsidR="00D17A04" w:rsidRPr="00C172AE" w:rsidTr="00D17A04">
        <w:trPr>
          <w:trHeight w:hRule="exact" w:val="510"/>
        </w:trPr>
        <w:tc>
          <w:tcPr>
            <w:tcW w:w="1036" w:type="dxa"/>
            <w:vMerge w:val="restart"/>
            <w:tcBorders>
              <w:top w:val="nil"/>
              <w:right w:val="nil"/>
            </w:tcBorders>
            <w:noWrap/>
          </w:tcPr>
          <w:p w:rsidR="00D17A04" w:rsidRPr="00AE65F6" w:rsidRDefault="00FB6BA1" w:rsidP="009E3778">
            <w:pPr>
              <w:pStyle w:val="ekvkapitelweiss"/>
              <w:pageBreakBefore/>
            </w:pPr>
            <w:r>
              <w:t>5</w:t>
            </w:r>
          </w:p>
        </w:tc>
        <w:tc>
          <w:tcPr>
            <w:tcW w:w="299" w:type="dxa"/>
            <w:tcBorders>
              <w:top w:val="nil"/>
              <w:left w:val="nil"/>
              <w:bottom w:val="nil"/>
              <w:right w:val="nil"/>
            </w:tcBorders>
            <w:noWrap/>
            <w:vAlign w:val="bottom"/>
          </w:tcPr>
          <w:p w:rsidR="00D17A04" w:rsidRPr="00CD1642" w:rsidRDefault="00D17A04" w:rsidP="009E3778">
            <w:pPr>
              <w:pageBreakBefore/>
            </w:pPr>
          </w:p>
        </w:tc>
        <w:tc>
          <w:tcPr>
            <w:tcW w:w="4256" w:type="dxa"/>
            <w:tcBorders>
              <w:top w:val="nil"/>
              <w:left w:val="nil"/>
              <w:bottom w:val="nil"/>
              <w:right w:val="nil"/>
            </w:tcBorders>
            <w:vAlign w:val="bottom"/>
          </w:tcPr>
          <w:p w:rsidR="00D17A04" w:rsidRPr="007C1230" w:rsidRDefault="006E01B3" w:rsidP="007C1230">
            <w:pPr>
              <w:pStyle w:val="ekvkolumnentitel"/>
            </w:pPr>
            <w:r>
              <w:t>Lösungen</w:t>
            </w:r>
          </w:p>
        </w:tc>
        <w:tc>
          <w:tcPr>
            <w:tcW w:w="1552" w:type="dxa"/>
            <w:tcBorders>
              <w:top w:val="nil"/>
              <w:left w:val="nil"/>
              <w:bottom w:val="nil"/>
              <w:right w:val="nil"/>
            </w:tcBorders>
            <w:noWrap/>
            <w:vAlign w:val="bottom"/>
          </w:tcPr>
          <w:p w:rsidR="00D17A04" w:rsidRPr="007C1230" w:rsidRDefault="00D17A04" w:rsidP="007C1230">
            <w:pPr>
              <w:pStyle w:val="ekvkolumnentitel"/>
            </w:pPr>
          </w:p>
        </w:tc>
        <w:tc>
          <w:tcPr>
            <w:tcW w:w="2600" w:type="dxa"/>
            <w:tcBorders>
              <w:top w:val="nil"/>
              <w:left w:val="nil"/>
              <w:bottom w:val="nil"/>
              <w:right w:val="nil"/>
            </w:tcBorders>
            <w:noWrap/>
            <w:vAlign w:val="bottom"/>
          </w:tcPr>
          <w:p w:rsidR="00D17A04" w:rsidRPr="007C1230" w:rsidRDefault="00D17A04" w:rsidP="007C1230">
            <w:pPr>
              <w:pStyle w:val="ekvkolumnentitel"/>
            </w:pPr>
          </w:p>
        </w:tc>
        <w:tc>
          <w:tcPr>
            <w:tcW w:w="1002" w:type="dxa"/>
            <w:tcBorders>
              <w:top w:val="nil"/>
              <w:left w:val="nil"/>
              <w:bottom w:val="nil"/>
              <w:right w:val="nil"/>
            </w:tcBorders>
            <w:noWrap/>
            <w:vAlign w:val="bottom"/>
          </w:tcPr>
          <w:p w:rsidR="00D17A04" w:rsidRPr="007C1230" w:rsidRDefault="006E01B3" w:rsidP="005B558C">
            <w:pPr>
              <w:pStyle w:val="ekvkvnummer"/>
            </w:pPr>
            <w:r>
              <w:t>2/2</w:t>
            </w:r>
          </w:p>
        </w:tc>
        <w:tc>
          <w:tcPr>
            <w:tcW w:w="255" w:type="dxa"/>
            <w:tcBorders>
              <w:top w:val="nil"/>
              <w:left w:val="nil"/>
              <w:bottom w:val="nil"/>
              <w:right w:val="nil"/>
            </w:tcBorders>
            <w:vAlign w:val="bottom"/>
          </w:tcPr>
          <w:p w:rsidR="00D17A04" w:rsidRPr="007C1230" w:rsidRDefault="00D17A04" w:rsidP="006C5E7A">
            <w:pPr>
              <w:pStyle w:val="ekvkvnummer"/>
            </w:pPr>
          </w:p>
        </w:tc>
      </w:tr>
      <w:tr w:rsidR="00D17A04" w:rsidRPr="00BF17F2" w:rsidTr="00D17A04">
        <w:tblPrEx>
          <w:tblCellMar>
            <w:left w:w="70" w:type="dxa"/>
            <w:right w:w="70" w:type="dxa"/>
          </w:tblCellMar>
          <w:tblLook w:val="0000" w:firstRow="0" w:lastRow="0" w:firstColumn="0" w:lastColumn="0" w:noHBand="0" w:noVBand="0"/>
        </w:tblPrEx>
        <w:trPr>
          <w:trHeight w:hRule="exact" w:val="794"/>
        </w:trPr>
        <w:tc>
          <w:tcPr>
            <w:tcW w:w="1036" w:type="dxa"/>
            <w:vMerge/>
            <w:tcBorders>
              <w:bottom w:val="nil"/>
              <w:right w:val="nil"/>
            </w:tcBorders>
            <w:noWrap/>
          </w:tcPr>
          <w:p w:rsidR="00D17A04" w:rsidRPr="00BF17F2" w:rsidRDefault="00D17A04" w:rsidP="00AE65F6">
            <w:pPr>
              <w:rPr>
                <w:color w:val="FFFFFF" w:themeColor="background1"/>
              </w:rPr>
            </w:pPr>
          </w:p>
        </w:tc>
        <w:tc>
          <w:tcPr>
            <w:tcW w:w="299" w:type="dxa"/>
            <w:tcBorders>
              <w:top w:val="nil"/>
              <w:left w:val="nil"/>
              <w:bottom w:val="nil"/>
              <w:right w:val="nil"/>
            </w:tcBorders>
            <w:noWrap/>
            <w:vAlign w:val="bottom"/>
          </w:tcPr>
          <w:p w:rsidR="00D17A04" w:rsidRPr="00CD1642" w:rsidRDefault="00D17A04" w:rsidP="00A25759"/>
        </w:tc>
        <w:tc>
          <w:tcPr>
            <w:tcW w:w="9410" w:type="dxa"/>
            <w:gridSpan w:val="4"/>
            <w:tcBorders>
              <w:left w:val="nil"/>
              <w:bottom w:val="nil"/>
              <w:right w:val="nil"/>
            </w:tcBorders>
            <w:vAlign w:val="bottom"/>
          </w:tcPr>
          <w:p w:rsidR="00D17A04" w:rsidRPr="00BF17F2" w:rsidRDefault="00D17A04" w:rsidP="00037566">
            <w:pPr>
              <w:rPr>
                <w:color w:val="FFFFFF" w:themeColor="background1"/>
              </w:rPr>
            </w:pPr>
          </w:p>
        </w:tc>
        <w:tc>
          <w:tcPr>
            <w:tcW w:w="255" w:type="dxa"/>
            <w:tcBorders>
              <w:top w:val="nil"/>
              <w:left w:val="nil"/>
              <w:bottom w:val="nil"/>
            </w:tcBorders>
            <w:vAlign w:val="bottom"/>
          </w:tcPr>
          <w:p w:rsidR="00D17A04" w:rsidRPr="00BF17F2" w:rsidRDefault="00D17A04" w:rsidP="00037566">
            <w:pPr>
              <w:rPr>
                <w:color w:val="FFFFFF" w:themeColor="background1"/>
              </w:rPr>
            </w:pPr>
          </w:p>
        </w:tc>
      </w:tr>
    </w:tbl>
    <w:p w:rsidR="00D012BB" w:rsidRPr="00D17A04" w:rsidRDefault="00D012BB" w:rsidP="00D17A04">
      <w:pPr>
        <w:pStyle w:val="ekvaufzhlung"/>
      </w:pPr>
      <w:r w:rsidRPr="00D17A04">
        <w:rPr>
          <w:rStyle w:val="ekvfett"/>
        </w:rPr>
        <w:t>7</w:t>
      </w:r>
      <w:r w:rsidRPr="00D17A04">
        <w:tab/>
        <w:t>Die Station heißt Schneifel. Sie liegt auf einer Höhe von 657 m. Die mittlere Jahrestemperatur beträgt dort 6,7 °C und bei den Monatsdurchschnittstemperaturen sind im Januar, dem kältesten Monat, – 1 °C und beim wärmsten Monat, dem Juli, 15 °C angegeben. Die Jahresschwankung der Temperatur beträgt somit 16 °C.</w:t>
      </w:r>
    </w:p>
    <w:p w:rsidR="00D012BB" w:rsidRPr="00D17A04" w:rsidRDefault="00D012BB" w:rsidP="00D17A04">
      <w:pPr>
        <w:pStyle w:val="ekvaufzhlung"/>
      </w:pPr>
      <w:r w:rsidRPr="00D17A04">
        <w:tab/>
        <w:t>Der mittlere Jahresniederschlag liegt bei 1 270 mm, wobei im August mit 72 mm der geringste und im Dezember mit 144 mm der meiste Niederschlag fällt. Insgesamt kann man erkennen, dass die Temperatur von Januar bis Juli ständig ansteigt und dann bis zum nächsten Januar wieder abfällt.</w:t>
      </w:r>
    </w:p>
    <w:p w:rsidR="00D012BB" w:rsidRPr="00D17A04" w:rsidRDefault="00D012BB" w:rsidP="00D17A04">
      <w:pPr>
        <w:pStyle w:val="ekvaufzhlung"/>
      </w:pPr>
      <w:r w:rsidRPr="00D17A04">
        <w:tab/>
        <w:t>Die Niederschläge sind hingegen zu Jahresbeginn auf einem sehr hohen Wert. Sie fallen zum Februarhin stark ab um im März wieder anzusteigen. Im April liegen sie dann wieder sehr niedrig und erreichen mit kleineren Schwankungen im August den geringsten Wert. Bis zum Dezember steigen die Niederschläge dann aber wieder sehr steil an. Aufgrund der sehr hohen Niederschläge kann man in der Nähe der Station Futterbaubetriebe vermuten.</w:t>
      </w:r>
    </w:p>
    <w:p w:rsidR="00D012BB" w:rsidRPr="00D17A04" w:rsidRDefault="00D012BB" w:rsidP="00D17A04">
      <w:pPr>
        <w:pStyle w:val="ekvaufzhlung"/>
      </w:pPr>
    </w:p>
    <w:p w:rsidR="00D012BB" w:rsidRPr="00D17A04" w:rsidRDefault="00D012BB" w:rsidP="00D17A04">
      <w:pPr>
        <w:pStyle w:val="ekvaufzhlung"/>
      </w:pPr>
      <w:r w:rsidRPr="00D17A04">
        <w:rPr>
          <w:rStyle w:val="ekvfett"/>
        </w:rPr>
        <w:t>8</w:t>
      </w:r>
      <w:r w:rsidRPr="00D17A04">
        <w:tab/>
        <w:t>Der Preis ist für den Händler sowie den Verbraucher oft das entscheidende Kriterium beim Fleischkauf. Neben dem Konkurrenzdruck auf dem Markt für die Geschäftsleute spielen hier auch bei den privaten Haushalten begrenzte finanzielle Möglichkeiten eine Rolle. Sowohl für die Tiere als auch für die Umwelt und letztlich für die Endverbraucher sollte eine artgerechte und qualitativ hochwertige Fleischproduktion vorrangig sein. Aber der derzeit vorherrschende Fleischbedarf könnte nicht ausschließlich durch artgerechte Tierhaltung gesichert werden. Ein Umdenken der Endverbraucher ist daher unumgänglich.</w:t>
      </w:r>
    </w:p>
    <w:p w:rsidR="00D012BB" w:rsidRPr="00D17A04" w:rsidRDefault="00D012BB" w:rsidP="00D17A04">
      <w:pPr>
        <w:pStyle w:val="ekvaufzhlung"/>
      </w:pPr>
    </w:p>
    <w:p w:rsidR="00D012BB" w:rsidRPr="00D17A04" w:rsidRDefault="00D012BB" w:rsidP="00D17A04">
      <w:pPr>
        <w:pStyle w:val="ekvaufzhlung"/>
      </w:pPr>
      <w:r w:rsidRPr="00D17A04">
        <w:rPr>
          <w:rStyle w:val="ekvfett"/>
        </w:rPr>
        <w:t>9</w:t>
      </w:r>
      <w:r w:rsidRPr="00D17A04">
        <w:tab/>
        <w:t>Es gibt verschiedene Gründe für und gegen einen Mischbetrieb oder einen spezialisierten Betrieb. Auch wenn ökonomisch der spezialisierte Betrieb als die „richtige“ Antwort angesehen werden kann, sollte der Lehrer auch gegenüber anderen „richtigen“ Antworten offen sein, die andere Aspekte stärker betonen. Auf Argumente für die eigene Meinung muss man in beiden Fällen bestehen.</w:t>
      </w:r>
    </w:p>
    <w:p w:rsidR="00D17A04" w:rsidRDefault="00D17A04" w:rsidP="00D17A04">
      <w:pPr>
        <w:pStyle w:val="ekvaufzhlung"/>
      </w:pPr>
    </w:p>
    <w:p w:rsidR="00D012BB" w:rsidRPr="00D17A04" w:rsidRDefault="00D012BB" w:rsidP="00D17A04">
      <w:pPr>
        <w:pStyle w:val="ekvaufzhlung"/>
      </w:pPr>
      <w:r w:rsidRPr="00D17A04">
        <w:t>Spezialisierter Betrieb – pro</w:t>
      </w:r>
    </w:p>
    <w:p w:rsidR="00D012BB" w:rsidRPr="00D17A04" w:rsidRDefault="00D012BB" w:rsidP="00D17A04">
      <w:pPr>
        <w:pStyle w:val="ekvaufzhlung"/>
      </w:pPr>
      <w:r w:rsidRPr="00D17A04">
        <w:t>–</w:t>
      </w:r>
      <w:r w:rsidR="00D17A04">
        <w:tab/>
      </w:r>
      <w:r w:rsidRPr="00D17A04">
        <w:t>Man muss nur in einem Bereich Maschinen anschaffen und kann deswegen</w:t>
      </w:r>
      <w:r w:rsidR="00D17A04">
        <w:t xml:space="preserve"> für den einen Produktionszweig </w:t>
      </w:r>
      <w:r w:rsidRPr="00D17A04">
        <w:t>mehr und modernere Technik kaufen.</w:t>
      </w:r>
    </w:p>
    <w:p w:rsidR="00D012BB" w:rsidRPr="00D17A04" w:rsidRDefault="00D012BB" w:rsidP="00D17A04">
      <w:pPr>
        <w:pStyle w:val="ekvaufzhlung"/>
      </w:pPr>
      <w:r w:rsidRPr="00D17A04">
        <w:t>–</w:t>
      </w:r>
      <w:r w:rsidR="00D17A04">
        <w:tab/>
      </w:r>
      <w:r w:rsidRPr="00D17A04">
        <w:t>Durch die Spezialisierung kann man deshalb die Ackerfläche oder den Tierbestand stark vergrößern und damit auch mehr verdienen.</w:t>
      </w:r>
    </w:p>
    <w:p w:rsidR="00D012BB" w:rsidRPr="00D17A04" w:rsidRDefault="00D012BB" w:rsidP="00D17A04">
      <w:pPr>
        <w:pStyle w:val="ekvaufzhlung"/>
      </w:pPr>
      <w:r w:rsidRPr="00D17A04">
        <w:t>–</w:t>
      </w:r>
      <w:r w:rsidR="00D17A04">
        <w:tab/>
      </w:r>
      <w:r w:rsidRPr="00D17A04">
        <w:t>Man muss sich nicht in allen Bereichen Landwirtschaft auskennen.</w:t>
      </w:r>
    </w:p>
    <w:p w:rsidR="00D17A04" w:rsidRDefault="00D17A04" w:rsidP="00D17A04">
      <w:pPr>
        <w:pStyle w:val="ekvaufzhlung"/>
      </w:pPr>
    </w:p>
    <w:p w:rsidR="00D012BB" w:rsidRPr="00D17A04" w:rsidRDefault="00D012BB" w:rsidP="00D17A04">
      <w:pPr>
        <w:pStyle w:val="ekvaufzhlung"/>
      </w:pPr>
      <w:r w:rsidRPr="00D17A04">
        <w:t>Spezialisierter Betrieb – kontra</w:t>
      </w:r>
    </w:p>
    <w:p w:rsidR="00D012BB" w:rsidRPr="00D17A04" w:rsidRDefault="00D012BB" w:rsidP="00D17A04">
      <w:pPr>
        <w:pStyle w:val="ekvaufzhlung"/>
      </w:pPr>
      <w:r w:rsidRPr="00D17A04">
        <w:t>–</w:t>
      </w:r>
      <w:r w:rsidR="00D17A04">
        <w:tab/>
      </w:r>
      <w:r w:rsidRPr="00D17A04">
        <w:t>Durch die Spezialisierung ist man gezwungen den einen Bereich so auszuweiten, dass er ohne stärkere Mechanisierung nicht betrieben werden kann. Der Kauf von neuen Maschinen wird also notwendig.</w:t>
      </w:r>
    </w:p>
    <w:p w:rsidR="00D012BB" w:rsidRPr="00D17A04" w:rsidRDefault="00D012BB" w:rsidP="00D17A04">
      <w:pPr>
        <w:pStyle w:val="ekvaufzhlung"/>
      </w:pPr>
      <w:r w:rsidRPr="00D17A04">
        <w:t>–</w:t>
      </w:r>
      <w:r w:rsidR="00D17A04">
        <w:tab/>
      </w:r>
      <w:r w:rsidRPr="00D17A04">
        <w:t>Die Arbeit in einem spezialisierten Betrieb ist weniger vielseitig als in einem Mischbetrieb.</w:t>
      </w:r>
    </w:p>
    <w:p w:rsidR="00D012BB" w:rsidRPr="00D17A04" w:rsidRDefault="00D012BB" w:rsidP="00D17A04">
      <w:pPr>
        <w:pStyle w:val="ekvaufzhlung"/>
      </w:pPr>
    </w:p>
    <w:p w:rsidR="00D012BB" w:rsidRPr="00D17A04" w:rsidRDefault="00D012BB" w:rsidP="00D17A04">
      <w:pPr>
        <w:pStyle w:val="ekvaufzhlung"/>
      </w:pPr>
      <w:r w:rsidRPr="00D17A04">
        <w:rPr>
          <w:rStyle w:val="ekvfett"/>
        </w:rPr>
        <w:t>10</w:t>
      </w:r>
      <w:r w:rsidRPr="00D17A04">
        <w:tab/>
        <w:t>Individuelle Schülerlösung.</w:t>
      </w:r>
    </w:p>
    <w:p w:rsidR="00D012BB" w:rsidRPr="00D17A04" w:rsidRDefault="00D012BB" w:rsidP="00D17A04">
      <w:pPr>
        <w:pStyle w:val="ekvaufzhlung"/>
      </w:pPr>
    </w:p>
    <w:p w:rsidR="00E16012" w:rsidRPr="00D17A04" w:rsidRDefault="00D012BB" w:rsidP="00D17A04">
      <w:pPr>
        <w:pStyle w:val="ekvaufzhlung"/>
      </w:pPr>
      <w:r w:rsidRPr="00D17A04">
        <w:rPr>
          <w:rStyle w:val="ekvfett"/>
        </w:rPr>
        <w:t>11</w:t>
      </w:r>
      <w:r w:rsidRPr="00D17A04">
        <w:tab/>
        <w:t>Wissen vernetzen</w:t>
      </w:r>
    </w:p>
    <w:sectPr w:rsidR="00E16012" w:rsidRPr="00D17A04" w:rsidSect="00612F3B">
      <w:headerReference w:type="default" r:id="rId7"/>
      <w:footerReference w:type="default" r:id="rId8"/>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5B" w:rsidRDefault="00505D5B" w:rsidP="003C599D">
      <w:pPr>
        <w:spacing w:line="240" w:lineRule="auto"/>
      </w:pPr>
      <w:r>
        <w:separator/>
      </w:r>
    </w:p>
  </w:endnote>
  <w:endnote w:type="continuationSeparator" w:id="0">
    <w:p w:rsidR="00505D5B" w:rsidRDefault="00505D5B"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oloCEF Medium">
    <w:panose1 w:val="00000000000000000000"/>
    <w:charset w:val="00"/>
    <w:family w:val="modern"/>
    <w:notTrueType/>
    <w:pitch w:val="variable"/>
    <w:sig w:usb0="800000AF" w:usb1="0000204A" w:usb2="00000000" w:usb3="00000000" w:csb0="00000093" w:csb1="00000000"/>
  </w:font>
  <w:font w:name="PoloCEF">
    <w:panose1 w:val="00000000000000000000"/>
    <w:charset w:val="00"/>
    <w:family w:val="modern"/>
    <w:notTrueType/>
    <w:pitch w:val="variable"/>
    <w:sig w:usb0="800000AF" w:usb1="0000204A" w:usb2="00000000" w:usb3="00000000" w:csb0="00000093" w:csb1="00000000"/>
  </w:font>
  <w:font w:name="PoloCEF Normal">
    <w:panose1 w:val="00000000000000000000"/>
    <w:charset w:val="00"/>
    <w:family w:val="modern"/>
    <w:notTrueType/>
    <w:pitch w:val="variable"/>
    <w:sig w:usb0="800000AF" w:usb1="0000204A"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4F9C9E73" wp14:editId="4677709A">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992934">
          <w:pPr>
            <w:pStyle w:val="ekvpagina"/>
          </w:pPr>
          <w:r w:rsidRPr="00913892">
            <w:t>© Ernst Klett Verlag GmbH, Stuttgart 201</w:t>
          </w:r>
          <w:r w:rsidR="00992934">
            <w:t>9</w:t>
          </w:r>
          <w:r w:rsidR="00D6115B">
            <w:br/>
          </w:r>
          <w:r w:rsidR="00D6115B" w:rsidRPr="00D6115B">
            <w:t>Programmbereich Gesellschaftswissenschaften</w:t>
          </w:r>
          <w:r w:rsidRPr="00913892">
            <w:t xml:space="preserve"> | www.klett.de | </w:t>
          </w:r>
          <w:r w:rsidR="00D6115B">
            <w:br/>
          </w:r>
          <w:r w:rsidRPr="00913892">
            <w:t>Alle Rechte vorbehalten. Von dieser Druckvorlage ist die Vervielfältigung für den eigenen Unterrichtsgebrauch gestattet. Die Kopiergebühren sind abgegolten.</w:t>
          </w:r>
        </w:p>
      </w:tc>
      <w:tc>
        <w:tcPr>
          <w:tcW w:w="5902" w:type="dxa"/>
          <w:noWrap/>
        </w:tcPr>
        <w:p w:rsidR="00193A18" w:rsidRPr="00913892" w:rsidRDefault="00193A18" w:rsidP="004136AD">
          <w:pPr>
            <w:pStyle w:val="ekvquelle"/>
          </w:pP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5B" w:rsidRDefault="00505D5B" w:rsidP="003C599D">
      <w:pPr>
        <w:spacing w:line="240" w:lineRule="auto"/>
      </w:pPr>
      <w:r>
        <w:separator/>
      </w:r>
    </w:p>
  </w:footnote>
  <w:footnote w:type="continuationSeparator" w:id="0">
    <w:p w:rsidR="00505D5B" w:rsidRDefault="00505D5B"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26B" w:rsidRDefault="00952B57">
    <w:pPr>
      <w:pStyle w:val="Kopfzeile"/>
    </w:pPr>
    <w:r>
      <w:rPr>
        <w:lang w:eastAsia="de-DE"/>
      </w:rPr>
      <w:drawing>
        <wp:anchor distT="0" distB="0" distL="114300" distR="114300" simplePos="0" relativeHeight="251658240" behindDoc="1" locked="0" layoutInCell="1" allowOverlap="1" wp14:anchorId="50CE3E2D" wp14:editId="133411D4">
          <wp:simplePos x="0" y="0"/>
          <wp:positionH relativeFrom="column">
            <wp:posOffset>-626745</wp:posOffset>
          </wp:positionH>
          <wp:positionV relativeFrom="paragraph">
            <wp:posOffset>-71755</wp:posOffset>
          </wp:positionV>
          <wp:extent cx="849600" cy="702000"/>
          <wp:effectExtent l="0" t="0" r="8255"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7_KV_Kop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600" cy="70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5B"/>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A3B82"/>
    <w:rsid w:val="000A51A5"/>
    <w:rsid w:val="000A7892"/>
    <w:rsid w:val="000B098D"/>
    <w:rsid w:val="000B5FE5"/>
    <w:rsid w:val="000B7BD3"/>
    <w:rsid w:val="000C11E0"/>
    <w:rsid w:val="000C60D9"/>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40B24"/>
    <w:rsid w:val="001524C9"/>
    <w:rsid w:val="00161B4B"/>
    <w:rsid w:val="00163394"/>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53C8"/>
    <w:rsid w:val="00216D91"/>
    <w:rsid w:val="00223717"/>
    <w:rsid w:val="002240EA"/>
    <w:rsid w:val="002266E8"/>
    <w:rsid w:val="002277D2"/>
    <w:rsid w:val="00227E5C"/>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B7FF0"/>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04BA"/>
    <w:rsid w:val="00321063"/>
    <w:rsid w:val="0032224A"/>
    <w:rsid w:val="00323D7C"/>
    <w:rsid w:val="0032667B"/>
    <w:rsid w:val="00330185"/>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E3969"/>
    <w:rsid w:val="00501528"/>
    <w:rsid w:val="00505D5B"/>
    <w:rsid w:val="005069C1"/>
    <w:rsid w:val="00514229"/>
    <w:rsid w:val="005156EC"/>
    <w:rsid w:val="005168A4"/>
    <w:rsid w:val="0052117E"/>
    <w:rsid w:val="00521B91"/>
    <w:rsid w:val="005252D2"/>
    <w:rsid w:val="00527BE3"/>
    <w:rsid w:val="00530C92"/>
    <w:rsid w:val="00535AD8"/>
    <w:rsid w:val="00547103"/>
    <w:rsid w:val="00554EDA"/>
    <w:rsid w:val="005607B4"/>
    <w:rsid w:val="00560848"/>
    <w:rsid w:val="0057200E"/>
    <w:rsid w:val="00572A0F"/>
    <w:rsid w:val="00574FE0"/>
    <w:rsid w:val="00576D2D"/>
    <w:rsid w:val="00581B3B"/>
    <w:rsid w:val="00583FC8"/>
    <w:rsid w:val="00584F88"/>
    <w:rsid w:val="00587DF4"/>
    <w:rsid w:val="00597E2F"/>
    <w:rsid w:val="005A3FB2"/>
    <w:rsid w:val="005A6A0E"/>
    <w:rsid w:val="005A6D94"/>
    <w:rsid w:val="005B558C"/>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12F3B"/>
    <w:rsid w:val="006201CB"/>
    <w:rsid w:val="00622F6B"/>
    <w:rsid w:val="00627765"/>
    <w:rsid w:val="00627A02"/>
    <w:rsid w:val="0064692C"/>
    <w:rsid w:val="00653F68"/>
    <w:rsid w:val="00671F19"/>
    <w:rsid w:val="006802C4"/>
    <w:rsid w:val="0068429A"/>
    <w:rsid w:val="00685FDD"/>
    <w:rsid w:val="006912DC"/>
    <w:rsid w:val="00693676"/>
    <w:rsid w:val="006A5611"/>
    <w:rsid w:val="006A71DE"/>
    <w:rsid w:val="006A76D7"/>
    <w:rsid w:val="006A7BDB"/>
    <w:rsid w:val="006B2D23"/>
    <w:rsid w:val="006B3EF4"/>
    <w:rsid w:val="006B6247"/>
    <w:rsid w:val="006C4E52"/>
    <w:rsid w:val="006C5E7A"/>
    <w:rsid w:val="006C6A77"/>
    <w:rsid w:val="006D1F6D"/>
    <w:rsid w:val="006D49F0"/>
    <w:rsid w:val="006D7F2E"/>
    <w:rsid w:val="006E01B3"/>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518E"/>
    <w:rsid w:val="007277C2"/>
    <w:rsid w:val="0073042D"/>
    <w:rsid w:val="0073238D"/>
    <w:rsid w:val="00733A44"/>
    <w:rsid w:val="0074087D"/>
    <w:rsid w:val="00741417"/>
    <w:rsid w:val="00745BC6"/>
    <w:rsid w:val="0074776B"/>
    <w:rsid w:val="007507F9"/>
    <w:rsid w:val="00751B0E"/>
    <w:rsid w:val="00760C41"/>
    <w:rsid w:val="007619B6"/>
    <w:rsid w:val="007636A0"/>
    <w:rsid w:val="007661BA"/>
    <w:rsid w:val="00766405"/>
    <w:rsid w:val="0076691A"/>
    <w:rsid w:val="00772DA9"/>
    <w:rsid w:val="00775322"/>
    <w:rsid w:val="007814C9"/>
    <w:rsid w:val="00787700"/>
    <w:rsid w:val="007909CB"/>
    <w:rsid w:val="00794685"/>
    <w:rsid w:val="00797B18"/>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8F7B3F"/>
    <w:rsid w:val="00902002"/>
    <w:rsid w:val="00902CEB"/>
    <w:rsid w:val="009064C0"/>
    <w:rsid w:val="009078CB"/>
    <w:rsid w:val="00907EC2"/>
    <w:rsid w:val="00912A0A"/>
    <w:rsid w:val="00913598"/>
    <w:rsid w:val="00913892"/>
    <w:rsid w:val="0092051E"/>
    <w:rsid w:val="009215E3"/>
    <w:rsid w:val="00934B3E"/>
    <w:rsid w:val="00936CF0"/>
    <w:rsid w:val="00942106"/>
    <w:rsid w:val="0094260D"/>
    <w:rsid w:val="00944D92"/>
    <w:rsid w:val="00946121"/>
    <w:rsid w:val="00952A59"/>
    <w:rsid w:val="00952B21"/>
    <w:rsid w:val="00952B57"/>
    <w:rsid w:val="00956783"/>
    <w:rsid w:val="00957248"/>
    <w:rsid w:val="00957969"/>
    <w:rsid w:val="00962A4D"/>
    <w:rsid w:val="009634E9"/>
    <w:rsid w:val="00964A22"/>
    <w:rsid w:val="009656E9"/>
    <w:rsid w:val="00967C71"/>
    <w:rsid w:val="00967E19"/>
    <w:rsid w:val="00976E17"/>
    <w:rsid w:val="00977556"/>
    <w:rsid w:val="009800AB"/>
    <w:rsid w:val="00981185"/>
    <w:rsid w:val="00981DFC"/>
    <w:rsid w:val="00985264"/>
    <w:rsid w:val="009856A1"/>
    <w:rsid w:val="00990499"/>
    <w:rsid w:val="00990D91"/>
    <w:rsid w:val="009915B2"/>
    <w:rsid w:val="00992934"/>
    <w:rsid w:val="00992B92"/>
    <w:rsid w:val="009A056D"/>
    <w:rsid w:val="009A17FC"/>
    <w:rsid w:val="009A2869"/>
    <w:rsid w:val="009A50D4"/>
    <w:rsid w:val="009A7614"/>
    <w:rsid w:val="009A7A85"/>
    <w:rsid w:val="009A7FA2"/>
    <w:rsid w:val="009C016F"/>
    <w:rsid w:val="009C26DF"/>
    <w:rsid w:val="009C2A7B"/>
    <w:rsid w:val="009C3C75"/>
    <w:rsid w:val="009E17E1"/>
    <w:rsid w:val="009E1BBE"/>
    <w:rsid w:val="009E3778"/>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5759"/>
    <w:rsid w:val="00A26B32"/>
    <w:rsid w:val="00A27593"/>
    <w:rsid w:val="00A35787"/>
    <w:rsid w:val="00A3685C"/>
    <w:rsid w:val="00A43B4C"/>
    <w:rsid w:val="00A45110"/>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4530"/>
    <w:rsid w:val="00AC7B89"/>
    <w:rsid w:val="00AD4D22"/>
    <w:rsid w:val="00AD6755"/>
    <w:rsid w:val="00AE65F6"/>
    <w:rsid w:val="00AF053E"/>
    <w:rsid w:val="00B00587"/>
    <w:rsid w:val="00B039E8"/>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242A"/>
    <w:rsid w:val="00B8071F"/>
    <w:rsid w:val="00B82B4E"/>
    <w:rsid w:val="00B8420E"/>
    <w:rsid w:val="00B90CE1"/>
    <w:rsid w:val="00BA1A23"/>
    <w:rsid w:val="00BA2134"/>
    <w:rsid w:val="00BA4DBD"/>
    <w:rsid w:val="00BB2F2F"/>
    <w:rsid w:val="00BC2025"/>
    <w:rsid w:val="00BC2CD2"/>
    <w:rsid w:val="00BC6483"/>
    <w:rsid w:val="00BC69E3"/>
    <w:rsid w:val="00BC7335"/>
    <w:rsid w:val="00BD542D"/>
    <w:rsid w:val="00BD6E66"/>
    <w:rsid w:val="00BE1962"/>
    <w:rsid w:val="00BE4821"/>
    <w:rsid w:val="00BE5F83"/>
    <w:rsid w:val="00BE7DD8"/>
    <w:rsid w:val="00BF17F2"/>
    <w:rsid w:val="00BF5B65"/>
    <w:rsid w:val="00C00404"/>
    <w:rsid w:val="00C00540"/>
    <w:rsid w:val="00C172AE"/>
    <w:rsid w:val="00C17BE6"/>
    <w:rsid w:val="00C23BDA"/>
    <w:rsid w:val="00C343F5"/>
    <w:rsid w:val="00C40555"/>
    <w:rsid w:val="00C40D51"/>
    <w:rsid w:val="00C429A6"/>
    <w:rsid w:val="00C45D3B"/>
    <w:rsid w:val="00C46BF4"/>
    <w:rsid w:val="00C504F8"/>
    <w:rsid w:val="00C52804"/>
    <w:rsid w:val="00C52A99"/>
    <w:rsid w:val="00C52AB7"/>
    <w:rsid w:val="00C61654"/>
    <w:rsid w:val="00C65CFA"/>
    <w:rsid w:val="00C70F84"/>
    <w:rsid w:val="00C727B3"/>
    <w:rsid w:val="00C72BA2"/>
    <w:rsid w:val="00C805DE"/>
    <w:rsid w:val="00C84E4C"/>
    <w:rsid w:val="00C87044"/>
    <w:rsid w:val="00C94D17"/>
    <w:rsid w:val="00CB17F5"/>
    <w:rsid w:val="00CB27C6"/>
    <w:rsid w:val="00CB463B"/>
    <w:rsid w:val="00CB5B82"/>
    <w:rsid w:val="00CB782D"/>
    <w:rsid w:val="00CC54E0"/>
    <w:rsid w:val="00CC65A8"/>
    <w:rsid w:val="00CC7DBB"/>
    <w:rsid w:val="00CD1642"/>
    <w:rsid w:val="00CD4219"/>
    <w:rsid w:val="00CD5490"/>
    <w:rsid w:val="00CD6369"/>
    <w:rsid w:val="00CE2A37"/>
    <w:rsid w:val="00CE3E54"/>
    <w:rsid w:val="00CF2E1A"/>
    <w:rsid w:val="00CF6EC0"/>
    <w:rsid w:val="00CF715C"/>
    <w:rsid w:val="00D012BB"/>
    <w:rsid w:val="00D022EC"/>
    <w:rsid w:val="00D05217"/>
    <w:rsid w:val="00D06182"/>
    <w:rsid w:val="00D125BD"/>
    <w:rsid w:val="00D12661"/>
    <w:rsid w:val="00D14F61"/>
    <w:rsid w:val="00D1582D"/>
    <w:rsid w:val="00D17A04"/>
    <w:rsid w:val="00D2569D"/>
    <w:rsid w:val="00D27A1B"/>
    <w:rsid w:val="00D30806"/>
    <w:rsid w:val="00D34DC1"/>
    <w:rsid w:val="00D403F7"/>
    <w:rsid w:val="00D42356"/>
    <w:rsid w:val="00D559DE"/>
    <w:rsid w:val="00D56FEB"/>
    <w:rsid w:val="00D60F29"/>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D2477"/>
    <w:rsid w:val="00DD743B"/>
    <w:rsid w:val="00DE287B"/>
    <w:rsid w:val="00DE603B"/>
    <w:rsid w:val="00DF129D"/>
    <w:rsid w:val="00DF4371"/>
    <w:rsid w:val="00DF4780"/>
    <w:rsid w:val="00DF625F"/>
    <w:rsid w:val="00DF74DB"/>
    <w:rsid w:val="00E01841"/>
    <w:rsid w:val="00E045FD"/>
    <w:rsid w:val="00E05976"/>
    <w:rsid w:val="00E126C1"/>
    <w:rsid w:val="00E16012"/>
    <w:rsid w:val="00E21473"/>
    <w:rsid w:val="00E22935"/>
    <w:rsid w:val="00E22C67"/>
    <w:rsid w:val="00E2466B"/>
    <w:rsid w:val="00E27878"/>
    <w:rsid w:val="00E3023E"/>
    <w:rsid w:val="00E32378"/>
    <w:rsid w:val="00E34F46"/>
    <w:rsid w:val="00E375D2"/>
    <w:rsid w:val="00E41740"/>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5BDD"/>
    <w:rsid w:val="00EA7542"/>
    <w:rsid w:val="00EB2280"/>
    <w:rsid w:val="00EB334A"/>
    <w:rsid w:val="00EC1621"/>
    <w:rsid w:val="00EC1FF0"/>
    <w:rsid w:val="00EC662E"/>
    <w:rsid w:val="00ED07FE"/>
    <w:rsid w:val="00EE049D"/>
    <w:rsid w:val="00EE2721"/>
    <w:rsid w:val="00EE2A0B"/>
    <w:rsid w:val="00EF6029"/>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5124"/>
    <w:rsid w:val="00F55BE1"/>
    <w:rsid w:val="00F6336A"/>
    <w:rsid w:val="00F72065"/>
    <w:rsid w:val="00F778DC"/>
    <w:rsid w:val="00F849BE"/>
    <w:rsid w:val="00F94A4B"/>
    <w:rsid w:val="00F97AD4"/>
    <w:rsid w:val="00FA521E"/>
    <w:rsid w:val="00FB0917"/>
    <w:rsid w:val="00FB0F16"/>
    <w:rsid w:val="00FB1D7F"/>
    <w:rsid w:val="00FB59FB"/>
    <w:rsid w:val="00FB6BA1"/>
    <w:rsid w:val="00FB72A0"/>
    <w:rsid w:val="00FC35C5"/>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4776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uiPriority w:val="99"/>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4776B"/>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customStyle="1" w:styleId="ekvkapitelweiss">
    <w:name w:val="ekv.kapitel.weiss"/>
    <w:basedOn w:val="ekvkapitel"/>
    <w:qFormat/>
    <w:rsid w:val="008F7B3F"/>
    <w:pPr>
      <w:spacing w:line="660" w:lineRule="exact"/>
      <w:jc w:val="center"/>
    </w:pPr>
    <w:rPr>
      <w:color w:val="FFFFFF" w:themeColor="background1"/>
      <w:sz w:val="54"/>
    </w:rPr>
  </w:style>
  <w:style w:type="paragraph" w:customStyle="1" w:styleId="ekvue2">
    <w:name w:val="ekv.ue2"/>
    <w:basedOn w:val="Standard"/>
    <w:next w:val="ekvgrundtext"/>
    <w:uiPriority w:val="99"/>
    <w:rsid w:val="00E16012"/>
    <w:pPr>
      <w:keepNext/>
      <w:tabs>
        <w:tab w:val="clear" w:pos="340"/>
        <w:tab w:val="clear" w:pos="595"/>
        <w:tab w:val="clear" w:pos="851"/>
        <w:tab w:val="left" w:pos="765"/>
        <w:tab w:val="left" w:pos="1191"/>
      </w:tabs>
      <w:suppressAutoHyphens/>
      <w:autoSpaceDE w:val="0"/>
      <w:autoSpaceDN w:val="0"/>
      <w:adjustRightInd w:val="0"/>
      <w:spacing w:line="510" w:lineRule="atLeast"/>
      <w:textAlignment w:val="center"/>
    </w:pPr>
    <w:rPr>
      <w:rFonts w:ascii="PoloCEF Medium" w:hAnsi="PoloCEF Medium" w:cs="PoloCEF Medium"/>
      <w:noProof w:val="0"/>
      <w:color w:val="000000"/>
      <w:sz w:val="38"/>
      <w:szCs w:val="38"/>
    </w:rPr>
  </w:style>
  <w:style w:type="paragraph" w:customStyle="1" w:styleId="ekvgrundtext">
    <w:name w:val="ekv.grundtext"/>
    <w:basedOn w:val="Standard"/>
    <w:uiPriority w:val="99"/>
    <w:rsid w:val="00E16012"/>
    <w:pPr>
      <w:tabs>
        <w:tab w:val="clear" w:pos="340"/>
        <w:tab w:val="clear" w:pos="595"/>
        <w:tab w:val="clear" w:pos="851"/>
        <w:tab w:val="left" w:pos="397"/>
      </w:tabs>
      <w:autoSpaceDE w:val="0"/>
      <w:autoSpaceDN w:val="0"/>
      <w:adjustRightInd w:val="0"/>
      <w:spacing w:line="255" w:lineRule="atLeast"/>
      <w:textAlignment w:val="center"/>
    </w:pPr>
    <w:rPr>
      <w:rFonts w:ascii="PoloCEF" w:hAnsi="PoloCEF" w:cs="PoloCEF"/>
      <w:noProof w:val="0"/>
      <w:color w:val="000000"/>
      <w:sz w:val="20"/>
      <w:szCs w:val="20"/>
    </w:rPr>
  </w:style>
  <w:style w:type="paragraph" w:customStyle="1" w:styleId="ekvue4">
    <w:name w:val="ekv.ue4"/>
    <w:basedOn w:val="Standard"/>
    <w:next w:val="ekvgrundtext"/>
    <w:uiPriority w:val="99"/>
    <w:rsid w:val="00E16012"/>
    <w:pPr>
      <w:keepNext/>
      <w:tabs>
        <w:tab w:val="clear" w:pos="340"/>
        <w:tab w:val="clear" w:pos="595"/>
        <w:tab w:val="clear" w:pos="851"/>
        <w:tab w:val="left" w:pos="425"/>
      </w:tabs>
      <w:suppressAutoHyphens/>
      <w:autoSpaceDE w:val="0"/>
      <w:autoSpaceDN w:val="0"/>
      <w:adjustRightInd w:val="0"/>
      <w:spacing w:before="170" w:after="57" w:line="255" w:lineRule="atLeast"/>
      <w:textAlignment w:val="center"/>
    </w:pPr>
    <w:rPr>
      <w:rFonts w:ascii="PoloCEF Medium" w:hAnsi="PoloCEF Medium" w:cs="PoloCEF Medium"/>
      <w:noProof w:val="0"/>
      <w:color w:val="000000"/>
      <w:sz w:val="21"/>
      <w:szCs w:val="21"/>
    </w:rPr>
  </w:style>
  <w:style w:type="paragraph" w:customStyle="1" w:styleId="terraue2">
    <w:name w:val="terra.ue2"/>
    <w:basedOn w:val="Standard"/>
    <w:next w:val="Standard"/>
    <w:uiPriority w:val="99"/>
    <w:rsid w:val="00E16012"/>
    <w:pPr>
      <w:keepNext/>
      <w:tabs>
        <w:tab w:val="clear" w:pos="340"/>
        <w:tab w:val="clear" w:pos="595"/>
        <w:tab w:val="clear" w:pos="851"/>
        <w:tab w:val="left" w:pos="765"/>
        <w:tab w:val="left" w:pos="1191"/>
      </w:tabs>
      <w:suppressAutoHyphens/>
      <w:autoSpaceDE w:val="0"/>
      <w:autoSpaceDN w:val="0"/>
      <w:adjustRightInd w:val="0"/>
      <w:spacing w:line="510" w:lineRule="atLeast"/>
      <w:textAlignment w:val="center"/>
    </w:pPr>
    <w:rPr>
      <w:rFonts w:ascii="PoloCEF" w:hAnsi="PoloCEF" w:cs="PoloCEF"/>
      <w:noProof w:val="0"/>
      <w:color w:val="000000"/>
      <w:sz w:val="38"/>
      <w:szCs w:val="38"/>
    </w:rPr>
  </w:style>
  <w:style w:type="character" w:customStyle="1" w:styleId="terramedium50">
    <w:name w:val="terra.medium 50%"/>
    <w:uiPriority w:val="99"/>
    <w:rsid w:val="00E16012"/>
    <w:rPr>
      <w:rFonts w:ascii="PoloCEF Medium" w:hAnsi="PoloCEF Medium" w:cs="PoloCEF Medium"/>
      <w:color w:val="000000"/>
    </w:rPr>
  </w:style>
  <w:style w:type="character" w:customStyle="1" w:styleId="ekvregularitalic">
    <w:name w:val="ekv.regular.italic"/>
    <w:uiPriority w:val="99"/>
    <w:rsid w:val="00E16012"/>
    <w:rPr>
      <w:rFonts w:ascii="PoloCEF Normal" w:hAnsi="PoloCEF Normal" w:cs="PoloCEF Normal"/>
      <w:i/>
      <w:iCs/>
    </w:rPr>
  </w:style>
  <w:style w:type="character" w:customStyle="1" w:styleId="terraihvsonderseite">
    <w:name w:val="terra.ihv.sonderseite"/>
    <w:uiPriority w:val="99"/>
    <w:rsid w:val="00E16012"/>
    <w:rPr>
      <w:color w:val="000000"/>
      <w:spacing w:val="1"/>
      <w:sz w:val="17"/>
      <w:szCs w:val="17"/>
    </w:rPr>
  </w:style>
  <w:style w:type="paragraph" w:customStyle="1" w:styleId="KeinAbsatzformat">
    <w:name w:val="[Kein Absatzformat]"/>
    <w:rsid w:val="0032224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EinfAbs">
    <w:name w:val="[Einf. Abs.]"/>
    <w:basedOn w:val="KeinAbsatzformat"/>
    <w:uiPriority w:val="99"/>
    <w:rsid w:val="0032224A"/>
  </w:style>
  <w:style w:type="paragraph" w:customStyle="1" w:styleId="ekvaufgabe">
    <w:name w:val="ekv.aufgabe"/>
    <w:basedOn w:val="EinfAbs"/>
    <w:uiPriority w:val="99"/>
    <w:rsid w:val="0032224A"/>
    <w:pPr>
      <w:tabs>
        <w:tab w:val="left" w:pos="397"/>
      </w:tabs>
      <w:spacing w:line="255" w:lineRule="atLeast"/>
    </w:pPr>
    <w:rPr>
      <w:rFonts w:ascii="PoloCEF" w:hAnsi="PoloCEF" w:cs="PoloCEF"/>
      <w:sz w:val="20"/>
      <w:szCs w:val="20"/>
    </w:rPr>
  </w:style>
  <w:style w:type="character" w:customStyle="1" w:styleId="ekvfunktionsfarbe1mediumfarbenschriftschnitte">
    <w:name w:val="ekv.funktionsfarbe.1.medium (farben.schriftschnitte)"/>
    <w:uiPriority w:val="99"/>
    <w:rsid w:val="0032224A"/>
    <w:rPr>
      <w:rFonts w:ascii="PoloCEF Medium" w:hAnsi="PoloCEF Medium" w:cs="PoloCEF Medium"/>
      <w:color w:val="000000"/>
    </w:rPr>
  </w:style>
  <w:style w:type="character" w:customStyle="1" w:styleId="ekvdemibold">
    <w:name w:val="ekv.demibold"/>
    <w:uiPriority w:val="99"/>
    <w:rsid w:val="0032224A"/>
    <w:rPr>
      <w:rFonts w:ascii="PoloCEF" w:hAnsi="PoloCEF" w:cs="PoloCEF"/>
    </w:rPr>
  </w:style>
  <w:style w:type="character" w:customStyle="1" w:styleId="ekvmedium">
    <w:name w:val="ekv.medium"/>
    <w:uiPriority w:val="99"/>
    <w:rsid w:val="00D012BB"/>
    <w:rPr>
      <w:rFonts w:ascii="PoloCEF Medium" w:hAnsi="PoloCEF Medium" w:cs="PoloCEF Medium"/>
    </w:rPr>
  </w:style>
  <w:style w:type="table" w:styleId="HelleSchattierung-Akzent3">
    <w:name w:val="Light Shading Accent 3"/>
    <w:basedOn w:val="NormaleTabelle"/>
    <w:uiPriority w:val="60"/>
    <w:rsid w:val="006E01B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FarbigeListe-Akzent3">
    <w:name w:val="Colorful List Accent 3"/>
    <w:basedOn w:val="NormaleTabelle"/>
    <w:uiPriority w:val="72"/>
    <w:rsid w:val="006E01B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4776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uiPriority w:val="99"/>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4776B"/>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customStyle="1" w:styleId="ekvkapitelweiss">
    <w:name w:val="ekv.kapitel.weiss"/>
    <w:basedOn w:val="ekvkapitel"/>
    <w:qFormat/>
    <w:rsid w:val="008F7B3F"/>
    <w:pPr>
      <w:spacing w:line="660" w:lineRule="exact"/>
      <w:jc w:val="center"/>
    </w:pPr>
    <w:rPr>
      <w:color w:val="FFFFFF" w:themeColor="background1"/>
      <w:sz w:val="54"/>
    </w:rPr>
  </w:style>
  <w:style w:type="paragraph" w:customStyle="1" w:styleId="ekvue2">
    <w:name w:val="ekv.ue2"/>
    <w:basedOn w:val="Standard"/>
    <w:next w:val="ekvgrundtext"/>
    <w:uiPriority w:val="99"/>
    <w:rsid w:val="00E16012"/>
    <w:pPr>
      <w:keepNext/>
      <w:tabs>
        <w:tab w:val="clear" w:pos="340"/>
        <w:tab w:val="clear" w:pos="595"/>
        <w:tab w:val="clear" w:pos="851"/>
        <w:tab w:val="left" w:pos="765"/>
        <w:tab w:val="left" w:pos="1191"/>
      </w:tabs>
      <w:suppressAutoHyphens/>
      <w:autoSpaceDE w:val="0"/>
      <w:autoSpaceDN w:val="0"/>
      <w:adjustRightInd w:val="0"/>
      <w:spacing w:line="510" w:lineRule="atLeast"/>
      <w:textAlignment w:val="center"/>
    </w:pPr>
    <w:rPr>
      <w:rFonts w:ascii="PoloCEF Medium" w:hAnsi="PoloCEF Medium" w:cs="PoloCEF Medium"/>
      <w:noProof w:val="0"/>
      <w:color w:val="000000"/>
      <w:sz w:val="38"/>
      <w:szCs w:val="38"/>
    </w:rPr>
  </w:style>
  <w:style w:type="paragraph" w:customStyle="1" w:styleId="ekvgrundtext">
    <w:name w:val="ekv.grundtext"/>
    <w:basedOn w:val="Standard"/>
    <w:uiPriority w:val="99"/>
    <w:rsid w:val="00E16012"/>
    <w:pPr>
      <w:tabs>
        <w:tab w:val="clear" w:pos="340"/>
        <w:tab w:val="clear" w:pos="595"/>
        <w:tab w:val="clear" w:pos="851"/>
        <w:tab w:val="left" w:pos="397"/>
      </w:tabs>
      <w:autoSpaceDE w:val="0"/>
      <w:autoSpaceDN w:val="0"/>
      <w:adjustRightInd w:val="0"/>
      <w:spacing w:line="255" w:lineRule="atLeast"/>
      <w:textAlignment w:val="center"/>
    </w:pPr>
    <w:rPr>
      <w:rFonts w:ascii="PoloCEF" w:hAnsi="PoloCEF" w:cs="PoloCEF"/>
      <w:noProof w:val="0"/>
      <w:color w:val="000000"/>
      <w:sz w:val="20"/>
      <w:szCs w:val="20"/>
    </w:rPr>
  </w:style>
  <w:style w:type="paragraph" w:customStyle="1" w:styleId="ekvue4">
    <w:name w:val="ekv.ue4"/>
    <w:basedOn w:val="Standard"/>
    <w:next w:val="ekvgrundtext"/>
    <w:uiPriority w:val="99"/>
    <w:rsid w:val="00E16012"/>
    <w:pPr>
      <w:keepNext/>
      <w:tabs>
        <w:tab w:val="clear" w:pos="340"/>
        <w:tab w:val="clear" w:pos="595"/>
        <w:tab w:val="clear" w:pos="851"/>
        <w:tab w:val="left" w:pos="425"/>
      </w:tabs>
      <w:suppressAutoHyphens/>
      <w:autoSpaceDE w:val="0"/>
      <w:autoSpaceDN w:val="0"/>
      <w:adjustRightInd w:val="0"/>
      <w:spacing w:before="170" w:after="57" w:line="255" w:lineRule="atLeast"/>
      <w:textAlignment w:val="center"/>
    </w:pPr>
    <w:rPr>
      <w:rFonts w:ascii="PoloCEF Medium" w:hAnsi="PoloCEF Medium" w:cs="PoloCEF Medium"/>
      <w:noProof w:val="0"/>
      <w:color w:val="000000"/>
      <w:sz w:val="21"/>
      <w:szCs w:val="21"/>
    </w:rPr>
  </w:style>
  <w:style w:type="paragraph" w:customStyle="1" w:styleId="terraue2">
    <w:name w:val="terra.ue2"/>
    <w:basedOn w:val="Standard"/>
    <w:next w:val="Standard"/>
    <w:uiPriority w:val="99"/>
    <w:rsid w:val="00E16012"/>
    <w:pPr>
      <w:keepNext/>
      <w:tabs>
        <w:tab w:val="clear" w:pos="340"/>
        <w:tab w:val="clear" w:pos="595"/>
        <w:tab w:val="clear" w:pos="851"/>
        <w:tab w:val="left" w:pos="765"/>
        <w:tab w:val="left" w:pos="1191"/>
      </w:tabs>
      <w:suppressAutoHyphens/>
      <w:autoSpaceDE w:val="0"/>
      <w:autoSpaceDN w:val="0"/>
      <w:adjustRightInd w:val="0"/>
      <w:spacing w:line="510" w:lineRule="atLeast"/>
      <w:textAlignment w:val="center"/>
    </w:pPr>
    <w:rPr>
      <w:rFonts w:ascii="PoloCEF" w:hAnsi="PoloCEF" w:cs="PoloCEF"/>
      <w:noProof w:val="0"/>
      <w:color w:val="000000"/>
      <w:sz w:val="38"/>
      <w:szCs w:val="38"/>
    </w:rPr>
  </w:style>
  <w:style w:type="character" w:customStyle="1" w:styleId="terramedium50">
    <w:name w:val="terra.medium 50%"/>
    <w:uiPriority w:val="99"/>
    <w:rsid w:val="00E16012"/>
    <w:rPr>
      <w:rFonts w:ascii="PoloCEF Medium" w:hAnsi="PoloCEF Medium" w:cs="PoloCEF Medium"/>
      <w:color w:val="000000"/>
    </w:rPr>
  </w:style>
  <w:style w:type="character" w:customStyle="1" w:styleId="ekvregularitalic">
    <w:name w:val="ekv.regular.italic"/>
    <w:uiPriority w:val="99"/>
    <w:rsid w:val="00E16012"/>
    <w:rPr>
      <w:rFonts w:ascii="PoloCEF Normal" w:hAnsi="PoloCEF Normal" w:cs="PoloCEF Normal"/>
      <w:i/>
      <w:iCs/>
    </w:rPr>
  </w:style>
  <w:style w:type="character" w:customStyle="1" w:styleId="terraihvsonderseite">
    <w:name w:val="terra.ihv.sonderseite"/>
    <w:uiPriority w:val="99"/>
    <w:rsid w:val="00E16012"/>
    <w:rPr>
      <w:color w:val="000000"/>
      <w:spacing w:val="1"/>
      <w:sz w:val="17"/>
      <w:szCs w:val="17"/>
    </w:rPr>
  </w:style>
  <w:style w:type="paragraph" w:customStyle="1" w:styleId="KeinAbsatzformat">
    <w:name w:val="[Kein Absatzformat]"/>
    <w:rsid w:val="0032224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EinfAbs">
    <w:name w:val="[Einf. Abs.]"/>
    <w:basedOn w:val="KeinAbsatzformat"/>
    <w:uiPriority w:val="99"/>
    <w:rsid w:val="0032224A"/>
  </w:style>
  <w:style w:type="paragraph" w:customStyle="1" w:styleId="ekvaufgabe">
    <w:name w:val="ekv.aufgabe"/>
    <w:basedOn w:val="EinfAbs"/>
    <w:uiPriority w:val="99"/>
    <w:rsid w:val="0032224A"/>
    <w:pPr>
      <w:tabs>
        <w:tab w:val="left" w:pos="397"/>
      </w:tabs>
      <w:spacing w:line="255" w:lineRule="atLeast"/>
    </w:pPr>
    <w:rPr>
      <w:rFonts w:ascii="PoloCEF" w:hAnsi="PoloCEF" w:cs="PoloCEF"/>
      <w:sz w:val="20"/>
      <w:szCs w:val="20"/>
    </w:rPr>
  </w:style>
  <w:style w:type="character" w:customStyle="1" w:styleId="ekvfunktionsfarbe1mediumfarbenschriftschnitte">
    <w:name w:val="ekv.funktionsfarbe.1.medium (farben.schriftschnitte)"/>
    <w:uiPriority w:val="99"/>
    <w:rsid w:val="0032224A"/>
    <w:rPr>
      <w:rFonts w:ascii="PoloCEF Medium" w:hAnsi="PoloCEF Medium" w:cs="PoloCEF Medium"/>
      <w:color w:val="000000"/>
    </w:rPr>
  </w:style>
  <w:style w:type="character" w:customStyle="1" w:styleId="ekvdemibold">
    <w:name w:val="ekv.demibold"/>
    <w:uiPriority w:val="99"/>
    <w:rsid w:val="0032224A"/>
    <w:rPr>
      <w:rFonts w:ascii="PoloCEF" w:hAnsi="PoloCEF" w:cs="PoloCEF"/>
    </w:rPr>
  </w:style>
  <w:style w:type="character" w:customStyle="1" w:styleId="ekvmedium">
    <w:name w:val="ekv.medium"/>
    <w:uiPriority w:val="99"/>
    <w:rsid w:val="00D012BB"/>
    <w:rPr>
      <w:rFonts w:ascii="PoloCEF Medium" w:hAnsi="PoloCEF Medium" w:cs="PoloCEF Medium"/>
    </w:rPr>
  </w:style>
  <w:style w:type="table" w:styleId="HelleSchattierung-Akzent3">
    <w:name w:val="Light Shading Accent 3"/>
    <w:basedOn w:val="NormaleTabelle"/>
    <w:uiPriority w:val="60"/>
    <w:rsid w:val="006E01B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FarbigeListe-Akzent3">
    <w:name w:val="Colorful List Accent 3"/>
    <w:basedOn w:val="NormaleTabelle"/>
    <w:uiPriority w:val="72"/>
    <w:rsid w:val="006E01B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iSa\AppData\Roaming\Microsoft\Templates\WD_KV_KL5_SSS_TERRA_7.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WD_KV_KL5_SSS_TERRA_7.dotm</Template>
  <TotalTime>0</TotalTime>
  <Pages>2</Pages>
  <Words>629</Words>
  <Characters>3967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GmbH</dc:creator>
  <cp:lastModifiedBy>Ernst Klett Verlag GmbH</cp:lastModifiedBy>
  <cp:revision>3</cp:revision>
  <cp:lastPrinted>2016-12-23T16:36:00Z</cp:lastPrinted>
  <dcterms:created xsi:type="dcterms:W3CDTF">2019-09-13T09:57:00Z</dcterms:created>
  <dcterms:modified xsi:type="dcterms:W3CDTF">2019-09-13T09:57:00Z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TERRA 7 - Version 1.01</vt:lpwstr>
  </property>
</Properties>
</file>