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70BA752D" w14:textId="227B670F" w:rsidR="0075636B" w:rsidRDefault="00175A90" w:rsidP="0075636B">
      <w:pPr>
        <w:pStyle w:val="ekvue1arial"/>
      </w:pPr>
      <w:bookmarkStart w:id="0" w:name="_Hlk63936526"/>
      <w:r w:rsidRPr="00175A90">
        <w:t>Entwicklungen in der Anthroposphäre: Weltbevölkerung und Migration</w:t>
      </w:r>
    </w:p>
    <w:p w14:paraId="3C2E349C" w14:textId="77777777" w:rsidR="0075636B" w:rsidRDefault="0075636B" w:rsidP="0075636B"/>
    <w:p w14:paraId="53A528DA" w14:textId="77777777" w:rsidR="0075636B" w:rsidRPr="00484B5B" w:rsidRDefault="0075636B" w:rsidP="00484B5B">
      <w:pPr>
        <w:pStyle w:val="ekvue3arial"/>
      </w:pPr>
      <w:r w:rsidRPr="00484B5B">
        <w:t>1.</w:t>
      </w:r>
      <w:r w:rsidRPr="00484B5B">
        <w:tab/>
        <w:t>Orientierungskompetenz</w:t>
      </w:r>
    </w:p>
    <w:p w14:paraId="021D076B" w14:textId="623797DE" w:rsidR="0075636B" w:rsidRPr="00B94B81" w:rsidRDefault="00175A90" w:rsidP="00484B5B">
      <w:pPr>
        <w:pStyle w:val="ekvaufzhlung"/>
        <w:rPr>
          <w:rStyle w:val="ekvfett"/>
        </w:rPr>
      </w:pPr>
      <w:r w:rsidRPr="00175A90">
        <w:rPr>
          <w:rStyle w:val="ekvfett"/>
        </w:rPr>
        <w:t>a)</w:t>
      </w:r>
      <w:r w:rsidRPr="00175A90">
        <w:rPr>
          <w:rStyle w:val="ekvfett"/>
        </w:rPr>
        <w:tab/>
        <w:t xml:space="preserve">Ich kann auf einer Weltkarte </w:t>
      </w:r>
      <w:r w:rsidR="000711B5" w:rsidRPr="000711B5">
        <w:rPr>
          <w:rStyle w:val="ekvfett"/>
        </w:rPr>
        <w:t>fünf</w:t>
      </w:r>
      <w:r w:rsidRPr="00175A90">
        <w:rPr>
          <w:rStyle w:val="ekvfett"/>
        </w:rPr>
        <w:t xml:space="preserve"> Länder mit einer aktuell sehr hohen Wachstumsrate der Bevölkerung lokalisieren.</w:t>
      </w:r>
      <w:r w:rsidR="000711B5">
        <w:rPr>
          <w:rStyle w:val="ekvfett"/>
        </w:rPr>
        <w:t xml:space="preserve"> </w:t>
      </w:r>
      <w:r w:rsidR="000711B5" w:rsidRPr="000711B5">
        <w:rPr>
          <w:rStyle w:val="ekvfett"/>
        </w:rPr>
        <w:t>(S.</w:t>
      </w:r>
      <w:r w:rsidR="000711B5">
        <w:rPr>
          <w:rStyle w:val="ekvfett"/>
        </w:rPr>
        <w:t> </w:t>
      </w:r>
      <w:r w:rsidR="000711B5" w:rsidRPr="000711B5">
        <w:rPr>
          <w:rStyle w:val="ekvfett"/>
        </w:rPr>
        <w:t>244)</w:t>
      </w:r>
    </w:p>
    <w:p w14:paraId="3FEF825D" w14:textId="77777777" w:rsidR="00484B5B" w:rsidRDefault="00484B5B" w:rsidP="00465612">
      <w:pPr>
        <w:pStyle w:val="ekvaufzhlung"/>
      </w:pPr>
    </w:p>
    <w:p w14:paraId="2EB24DA4" w14:textId="745470EC" w:rsidR="0075636B" w:rsidRPr="00CC263E" w:rsidRDefault="00CC263E" w:rsidP="00465612">
      <w:pPr>
        <w:pStyle w:val="ekvaufzhlung"/>
      </w:pPr>
      <w:r w:rsidRPr="00CC263E">
        <w:rPr>
          <w:rStyle w:val="ekvnummerierung"/>
        </w:rPr>
        <w:t>1</w:t>
      </w:r>
      <w:r w:rsidRPr="00CC263E">
        <w:rPr>
          <w:rStyle w:val="ekvnummerierung"/>
        </w:rPr>
        <w:tab/>
      </w:r>
      <w:r w:rsidR="00175A90" w:rsidRPr="00175A90">
        <w:t xml:space="preserve">Lokalisieren Sie auf einer Weltkarte 5 Länder mit einer aktuell sehr hohen Wachstumsrate der Bevölkerung. </w:t>
      </w:r>
      <w:r w:rsidR="00175A90">
        <w:tab/>
      </w:r>
      <w:r w:rsidR="00175A90" w:rsidRPr="00175A90">
        <w:rPr>
          <w:rStyle w:val="ekvgrau"/>
        </w:rPr>
        <w:t>(5</w:t>
      </w:r>
      <w:r w:rsidR="00175A90">
        <w:rPr>
          <w:rStyle w:val="ekvgrau"/>
        </w:rPr>
        <w:t xml:space="preserve"> </w:t>
      </w:r>
      <w:r w:rsidR="00175A90" w:rsidRPr="00175A90">
        <w:rPr>
          <w:rStyle w:val="ekvgrau"/>
        </w:rPr>
        <w:t>VP</w:t>
      </w:r>
      <w:r w:rsidR="00175A90">
        <w:rPr>
          <w:rStyle w:val="ekvgrau"/>
        </w:rPr>
        <w:t>.)</w:t>
      </w:r>
    </w:p>
    <w:p w14:paraId="0D273AEC" w14:textId="4AE8727F" w:rsidR="00CE4C91" w:rsidRPr="00175A90" w:rsidRDefault="00CE4C91" w:rsidP="00EE2121">
      <w:pPr>
        <w:pStyle w:val="ekvgrundtexthalbe"/>
      </w:pPr>
    </w:p>
    <w:p w14:paraId="6A123156" w14:textId="3A80FED1" w:rsidR="00EE2121" w:rsidRPr="00EE2121" w:rsidRDefault="00EE2121" w:rsidP="00EE2121">
      <w:pPr>
        <w:rPr>
          <w:rStyle w:val="ekvlsung"/>
        </w:rPr>
      </w:pPr>
      <w:r w:rsidRPr="00EE2121">
        <w:rPr>
          <w:rStyle w:val="ekvlsung"/>
        </w:rPr>
        <w:t>Lokalisiert werden können z.</w:t>
      </w:r>
      <w:r w:rsidRPr="00EE2121">
        <w:rPr>
          <w:rStyle w:val="ekvlsung"/>
          <w:w w:val="50"/>
        </w:rPr>
        <w:t> </w:t>
      </w:r>
      <w:r w:rsidRPr="00EE2121">
        <w:rPr>
          <w:rStyle w:val="ekvlsung"/>
        </w:rPr>
        <w:t>B. Nigeria, D.</w:t>
      </w:r>
      <w:r w:rsidRPr="00EE2121">
        <w:rPr>
          <w:rStyle w:val="ekvlsung"/>
          <w:w w:val="50"/>
        </w:rPr>
        <w:t> </w:t>
      </w:r>
      <w:r w:rsidRPr="00EE2121">
        <w:rPr>
          <w:rStyle w:val="ekvlsung"/>
        </w:rPr>
        <w:t>R. Kongo, Angola, Ägypten, Pakistan.</w:t>
      </w:r>
    </w:p>
    <w:p w14:paraId="2E25CCFB" w14:textId="77777777" w:rsidR="00EE2121" w:rsidRPr="00CC263E" w:rsidRDefault="00EE2121" w:rsidP="00CC263E"/>
    <w:p w14:paraId="640024E5" w14:textId="281781C7" w:rsidR="0081754E" w:rsidRPr="0081754E" w:rsidRDefault="0081754E" w:rsidP="0081754E">
      <w:pPr>
        <w:pStyle w:val="ekvaufzhlung"/>
        <w:rPr>
          <w:rStyle w:val="ekvfett"/>
        </w:rPr>
      </w:pPr>
      <w:r w:rsidRPr="0081754E">
        <w:rPr>
          <w:rStyle w:val="ekvfett"/>
        </w:rPr>
        <w:t>c)</w:t>
      </w:r>
      <w:r w:rsidRPr="0081754E">
        <w:rPr>
          <w:rStyle w:val="ekvfett"/>
        </w:rPr>
        <w:tab/>
        <w:t>Ich kann jeweils 5 der größten Herkunfts- und Aufnahmeländer von Flüchtlingen nennen.</w:t>
      </w:r>
      <w:r w:rsidR="000711B5">
        <w:rPr>
          <w:rStyle w:val="ekvfett"/>
        </w:rPr>
        <w:t xml:space="preserve"> </w:t>
      </w:r>
      <w:r w:rsidR="000711B5" w:rsidRPr="000711B5">
        <w:rPr>
          <w:rStyle w:val="ekvfett"/>
        </w:rPr>
        <w:t>(S. 254)</w:t>
      </w:r>
    </w:p>
    <w:p w14:paraId="7494573B" w14:textId="77777777" w:rsidR="0081754E" w:rsidRDefault="0081754E" w:rsidP="0081754E"/>
    <w:p w14:paraId="4DD42B51" w14:textId="60254D8B" w:rsidR="0081754E" w:rsidRPr="0081754E" w:rsidRDefault="000711B5" w:rsidP="0081754E">
      <w:pPr>
        <w:pStyle w:val="ekvaufzhlung"/>
        <w:rPr>
          <w:rStyle w:val="ekvgrau"/>
        </w:rPr>
      </w:pPr>
      <w:r>
        <w:rPr>
          <w:rStyle w:val="ekvnummerierung"/>
        </w:rPr>
        <w:t>2</w:t>
      </w:r>
      <w:r w:rsidR="0081754E">
        <w:tab/>
        <w:t>Nennen Sie jeweils 5 der größten Herkunfts- und Aufnahmeländer von Flüchtlingen.</w:t>
      </w:r>
      <w:r w:rsidR="0081754E">
        <w:tab/>
      </w:r>
      <w:r w:rsidR="0081754E">
        <w:rPr>
          <w:rStyle w:val="ekvgrau"/>
        </w:rPr>
        <w:t>(5 VP.)</w:t>
      </w:r>
    </w:p>
    <w:p w14:paraId="298DEAE7" w14:textId="200545D7" w:rsidR="0081754E" w:rsidRPr="0081754E" w:rsidRDefault="0081754E" w:rsidP="00EE2121">
      <w:pPr>
        <w:pStyle w:val="ekvgrundtexthalbe"/>
      </w:pPr>
    </w:p>
    <w:p w14:paraId="728ECD59" w14:textId="3D61DF9D" w:rsidR="0081754E" w:rsidRPr="00EE2121" w:rsidRDefault="00EE2121" w:rsidP="00CE4C91">
      <w:pPr>
        <w:rPr>
          <w:rStyle w:val="ekvlsung"/>
        </w:rPr>
      </w:pPr>
      <w:r w:rsidRPr="00EE2121">
        <w:rPr>
          <w:rStyle w:val="ekvlsung"/>
        </w:rPr>
        <w:t>Fünf Beispiele für die größten Herkunftsländer von Flüchtlingen sind Syrien, Afghanistan, Südsudan, Myanmar und Somalia. Von den 5 größten Aufnahmeländern können Türkei, Pakistan, Uganda, Sudan und Deutschland genannt werden.</w:t>
      </w:r>
    </w:p>
    <w:p w14:paraId="5F7DD74A" w14:textId="77777777" w:rsidR="0081754E" w:rsidRDefault="0081754E" w:rsidP="00CE4C91"/>
    <w:p w14:paraId="374EE226" w14:textId="77777777" w:rsidR="0075636B" w:rsidRPr="00484B5B" w:rsidRDefault="0075636B" w:rsidP="00484B5B">
      <w:pPr>
        <w:pStyle w:val="ekvue3arial"/>
      </w:pPr>
      <w:r w:rsidRPr="00484B5B">
        <w:t>2.</w:t>
      </w:r>
      <w:r w:rsidRPr="00484B5B">
        <w:tab/>
        <w:t>Sachkompetenz</w:t>
      </w:r>
    </w:p>
    <w:p w14:paraId="6846A198" w14:textId="1C3C407E" w:rsidR="0075636B" w:rsidRPr="00B94B81" w:rsidRDefault="00CC263E" w:rsidP="00484B5B">
      <w:pPr>
        <w:pStyle w:val="ekvaufzhlung"/>
        <w:rPr>
          <w:rStyle w:val="ekvfett"/>
        </w:rPr>
      </w:pPr>
      <w:r w:rsidRPr="00CC263E">
        <w:rPr>
          <w:rStyle w:val="ekvfett"/>
        </w:rPr>
        <w:t>a)</w:t>
      </w:r>
      <w:r w:rsidRPr="00CC263E">
        <w:rPr>
          <w:rStyle w:val="ekvfett"/>
        </w:rPr>
        <w:tab/>
      </w:r>
      <w:r w:rsidR="0081754E" w:rsidRPr="0081754E">
        <w:rPr>
          <w:rStyle w:val="ekvfett"/>
        </w:rPr>
        <w:t>Ich kann die Begriffe „Gesamtfruchtbarkeitsrate“ und „Migrationssaldo“ erklären.</w:t>
      </w:r>
      <w:r w:rsidR="000711B5">
        <w:rPr>
          <w:rStyle w:val="ekvfett"/>
        </w:rPr>
        <w:t xml:space="preserve"> </w:t>
      </w:r>
      <w:r w:rsidR="000711B5" w:rsidRPr="000711B5">
        <w:rPr>
          <w:rStyle w:val="ekvfett"/>
        </w:rPr>
        <w:t>(S.</w:t>
      </w:r>
      <w:r w:rsidR="000711B5">
        <w:rPr>
          <w:rStyle w:val="ekvfett"/>
        </w:rPr>
        <w:t> </w:t>
      </w:r>
      <w:r w:rsidR="000711B5" w:rsidRPr="000711B5">
        <w:rPr>
          <w:rStyle w:val="ekvfett"/>
        </w:rPr>
        <w:t>246</w:t>
      </w:r>
      <w:r w:rsidR="000711B5">
        <w:rPr>
          <w:rStyle w:val="ekvfett"/>
        </w:rPr>
        <w:t>–</w:t>
      </w:r>
      <w:r w:rsidR="000711B5" w:rsidRPr="000711B5">
        <w:rPr>
          <w:rStyle w:val="ekvfett"/>
        </w:rPr>
        <w:t>249)</w:t>
      </w:r>
    </w:p>
    <w:p w14:paraId="0C10CA86" w14:textId="77777777" w:rsidR="00484B5B" w:rsidRDefault="00484B5B" w:rsidP="00465612">
      <w:pPr>
        <w:tabs>
          <w:tab w:val="right" w:pos="9356"/>
        </w:tabs>
        <w:ind w:left="595" w:hanging="595"/>
      </w:pPr>
    </w:p>
    <w:p w14:paraId="78B24398" w14:textId="2F55D49A" w:rsidR="0075636B" w:rsidRPr="0081754E" w:rsidRDefault="00CC263E" w:rsidP="00CC263E">
      <w:pPr>
        <w:pStyle w:val="ekvaufzhlung"/>
        <w:rPr>
          <w:rStyle w:val="ekvgrau"/>
        </w:rPr>
      </w:pPr>
      <w:r w:rsidRPr="00CC263E">
        <w:rPr>
          <w:rStyle w:val="ekvnummerierung"/>
        </w:rPr>
        <w:t>1</w:t>
      </w:r>
      <w:r w:rsidRPr="00CC263E">
        <w:rPr>
          <w:rStyle w:val="ekvnummerierung"/>
        </w:rPr>
        <w:tab/>
      </w:r>
      <w:r w:rsidR="0081754E" w:rsidRPr="0081754E">
        <w:t xml:space="preserve">Erklären Sie die Begriffe „Gesamtfruchtbarkeitsrate“ und „Migrationssaldo“. bzw. </w:t>
      </w:r>
      <w:r w:rsidR="0081754E">
        <w:br/>
      </w:r>
      <w:r w:rsidR="0081754E" w:rsidRPr="0081754E">
        <w:t>„Wanderungsbilanz“.</w:t>
      </w:r>
      <w:r w:rsidR="0081754E">
        <w:tab/>
      </w:r>
      <w:r w:rsidR="0081754E">
        <w:rPr>
          <w:rStyle w:val="ekvgrau"/>
        </w:rPr>
        <w:t>(4 VP.)</w:t>
      </w:r>
    </w:p>
    <w:p w14:paraId="147712D9" w14:textId="5536F14B" w:rsidR="0081754E" w:rsidRPr="0081754E" w:rsidRDefault="0081754E" w:rsidP="00EE2121">
      <w:pPr>
        <w:pStyle w:val="ekvgrundtexthalbe"/>
      </w:pPr>
    </w:p>
    <w:p w14:paraId="7F834D73" w14:textId="77BEC00E" w:rsidR="00EE2121" w:rsidRPr="00EE2121" w:rsidRDefault="00EE2121" w:rsidP="00EE2121">
      <w:pPr>
        <w:rPr>
          <w:rStyle w:val="ekvlsung"/>
        </w:rPr>
      </w:pPr>
      <w:r w:rsidRPr="00EE2121">
        <w:rPr>
          <w:rStyle w:val="ekvlsung"/>
        </w:rPr>
        <w:t xml:space="preserve">Die „Gesamtfruchtbarkeitsrate“ („Total Fertility Rate“) gibt für ein Land die durchschnittliche Kinderzahl pro Frau an. </w:t>
      </w:r>
      <w:r w:rsidR="00353FF6" w:rsidRPr="00353FF6">
        <w:rPr>
          <w:rStyle w:val="ekvlsung"/>
        </w:rPr>
        <w:t>(2 VP)</w:t>
      </w:r>
    </w:p>
    <w:p w14:paraId="7E3C957C" w14:textId="56EA40EC" w:rsidR="0081754E" w:rsidRPr="00EE2121" w:rsidRDefault="00EE2121" w:rsidP="00EE2121">
      <w:pPr>
        <w:rPr>
          <w:rStyle w:val="ekvlsung"/>
        </w:rPr>
      </w:pPr>
      <w:r w:rsidRPr="00EE2121">
        <w:rPr>
          <w:rStyle w:val="ekvlsung"/>
        </w:rPr>
        <w:t xml:space="preserve">Das „Migrationssaldo“ bzw. die „Wanderungsbilanz“ erfasst für eine festgelegten Zeitraum und für ein bestimmtes Gebiet die Differenz zwischen Zu- und Abwanderungen. </w:t>
      </w:r>
      <w:r w:rsidR="00353FF6" w:rsidRPr="00353FF6">
        <w:rPr>
          <w:rStyle w:val="ekvlsung"/>
        </w:rPr>
        <w:t>(2 VP)</w:t>
      </w:r>
    </w:p>
    <w:p w14:paraId="380540D5" w14:textId="77777777" w:rsidR="00CC263E" w:rsidRDefault="00CC263E" w:rsidP="00C17BE6"/>
    <w:bookmarkEnd w:id="0"/>
    <w:p w14:paraId="5A9A88B9" w14:textId="5C543DBF" w:rsidR="00D6076D" w:rsidRPr="00484B5B" w:rsidRDefault="0081754E" w:rsidP="00D6076D">
      <w:pPr>
        <w:pStyle w:val="ekvaufzhlung"/>
        <w:rPr>
          <w:rStyle w:val="ekvfett"/>
        </w:rPr>
      </w:pPr>
      <w:r w:rsidRPr="0081754E">
        <w:rPr>
          <w:rStyle w:val="ekvfett"/>
        </w:rPr>
        <w:t>b)</w:t>
      </w:r>
      <w:r w:rsidRPr="0081754E">
        <w:rPr>
          <w:rStyle w:val="ekvfett"/>
        </w:rPr>
        <w:tab/>
        <w:t>Ich kann Faktoren nennen, die zu Unsicherheiten in den Bevölkerungsprognosen führen können.</w:t>
      </w:r>
      <w:r w:rsidR="000711B5">
        <w:rPr>
          <w:rStyle w:val="ekvfett"/>
        </w:rPr>
        <w:t xml:space="preserve"> </w:t>
      </w:r>
      <w:r w:rsidR="000711B5" w:rsidRPr="000711B5">
        <w:rPr>
          <w:rStyle w:val="ekvfett"/>
        </w:rPr>
        <w:t>(S.</w:t>
      </w:r>
      <w:r w:rsidR="000711B5">
        <w:rPr>
          <w:rStyle w:val="ekvfett"/>
        </w:rPr>
        <w:t> </w:t>
      </w:r>
      <w:r w:rsidR="000711B5" w:rsidRPr="000711B5">
        <w:rPr>
          <w:rStyle w:val="ekvfett"/>
        </w:rPr>
        <w:t>244)</w:t>
      </w:r>
    </w:p>
    <w:p w14:paraId="66C2D74B" w14:textId="77777777" w:rsidR="00484B5B" w:rsidRDefault="00484B5B" w:rsidP="00465612">
      <w:pPr>
        <w:pStyle w:val="ekvaufzhlung"/>
      </w:pPr>
    </w:p>
    <w:p w14:paraId="559835B1" w14:textId="3E8A7A3D" w:rsidR="00BF60A0" w:rsidRPr="0081754E" w:rsidRDefault="00F140D4" w:rsidP="00465612">
      <w:pPr>
        <w:pStyle w:val="ekvaufzhlung"/>
        <w:rPr>
          <w:rStyle w:val="ekvgrau"/>
        </w:rPr>
      </w:pPr>
      <w:r w:rsidRPr="00F140D4">
        <w:rPr>
          <w:rStyle w:val="ekvnummerierung"/>
        </w:rPr>
        <w:t>2</w:t>
      </w:r>
      <w:r w:rsidRPr="00F140D4">
        <w:rPr>
          <w:rStyle w:val="ekvnummerierung"/>
        </w:rPr>
        <w:tab/>
      </w:r>
      <w:r w:rsidR="0081754E" w:rsidRPr="0081754E">
        <w:t>Nennen Sie Faktoren, die zu Unsicherheiten in den Bevölkerungsprognosen führen können.</w:t>
      </w:r>
      <w:r w:rsidR="0081754E">
        <w:tab/>
      </w:r>
      <w:r w:rsidR="0081754E">
        <w:rPr>
          <w:rStyle w:val="ekvgrau"/>
        </w:rPr>
        <w:t>(</w:t>
      </w:r>
      <w:r w:rsidR="00693298">
        <w:rPr>
          <w:rStyle w:val="ekvgrau"/>
        </w:rPr>
        <w:t>3 VP.</w:t>
      </w:r>
      <w:r w:rsidR="0081754E">
        <w:rPr>
          <w:rStyle w:val="ekvgrau"/>
        </w:rPr>
        <w:t>)</w:t>
      </w:r>
    </w:p>
    <w:p w14:paraId="0F67E5C2" w14:textId="77777777" w:rsidR="00693298" w:rsidRDefault="00693298" w:rsidP="00EE2121">
      <w:pPr>
        <w:pStyle w:val="ekvgrundtexthalbe"/>
      </w:pPr>
    </w:p>
    <w:p w14:paraId="047FB057" w14:textId="0A9C8026" w:rsidR="00EE2121" w:rsidRPr="00EE2121" w:rsidRDefault="00EE2121" w:rsidP="00EE2121">
      <w:pPr>
        <w:rPr>
          <w:rStyle w:val="ekvlsung"/>
        </w:rPr>
      </w:pPr>
      <w:r w:rsidRPr="00EE2121">
        <w:rPr>
          <w:rStyle w:val="ekvlsung"/>
        </w:rPr>
        <w:t>Unsicherheiten in den Bevölkerungsprognosen können sich u.</w:t>
      </w:r>
      <w:r w:rsidRPr="00EE2121">
        <w:rPr>
          <w:rStyle w:val="ekvlsung"/>
          <w:w w:val="50"/>
        </w:rPr>
        <w:t> </w:t>
      </w:r>
      <w:r w:rsidRPr="00EE2121">
        <w:rPr>
          <w:rStyle w:val="ekvlsung"/>
        </w:rPr>
        <w:t>a. aus folgenden Faktoren ergeben:</w:t>
      </w:r>
    </w:p>
    <w:p w14:paraId="319CAB49" w14:textId="737B8017" w:rsidR="00EE2121" w:rsidRPr="00EE2121" w:rsidRDefault="00EE2121" w:rsidP="00EE2121">
      <w:pPr>
        <w:pStyle w:val="ekvaufzhlung"/>
        <w:rPr>
          <w:rStyle w:val="ekvlsung"/>
        </w:rPr>
      </w:pPr>
      <w:r w:rsidRPr="00EE2121">
        <w:rPr>
          <w:rStyle w:val="ekvlsung"/>
        </w:rPr>
        <w:t>-</w:t>
      </w:r>
      <w:r w:rsidRPr="00EE2121">
        <w:rPr>
          <w:rStyle w:val="ekvlsung"/>
        </w:rPr>
        <w:tab/>
        <w:t>mögliches Abbremsen des Bevölkerungswachstums durch Konflikte, Hungersnöte, Epidemien</w:t>
      </w:r>
      <w:r w:rsidR="00353FF6">
        <w:rPr>
          <w:rStyle w:val="ekvlsung"/>
        </w:rPr>
        <w:t xml:space="preserve"> </w:t>
      </w:r>
      <w:r w:rsidR="00353FF6" w:rsidRPr="00353FF6">
        <w:rPr>
          <w:rStyle w:val="ekvlsung"/>
        </w:rPr>
        <w:t>(1 VP)</w:t>
      </w:r>
    </w:p>
    <w:p w14:paraId="6263D367" w14:textId="7FFB5A3E" w:rsidR="00EE2121" w:rsidRPr="00EE2121" w:rsidRDefault="00EE2121" w:rsidP="00EE2121">
      <w:pPr>
        <w:pStyle w:val="ekvaufzhlung"/>
        <w:rPr>
          <w:rStyle w:val="ekvlsung"/>
        </w:rPr>
      </w:pPr>
      <w:r w:rsidRPr="00EE2121">
        <w:rPr>
          <w:rStyle w:val="ekvlsung"/>
        </w:rPr>
        <w:t>-</w:t>
      </w:r>
      <w:r w:rsidRPr="00EE2121">
        <w:rPr>
          <w:rStyle w:val="ekvlsung"/>
        </w:rPr>
        <w:tab/>
        <w:t>rasche oder nur langsame Veränderungen im generativen Verhalten durch steigenden Wohlstand in Gesellschaften mit heute noch hohen Zuwachsraten der Bevölkerung</w:t>
      </w:r>
      <w:r w:rsidR="00353FF6">
        <w:rPr>
          <w:rStyle w:val="ekvlsung"/>
        </w:rPr>
        <w:t xml:space="preserve"> </w:t>
      </w:r>
      <w:r w:rsidR="00353FF6" w:rsidRPr="00353FF6">
        <w:rPr>
          <w:rStyle w:val="ekvlsung"/>
        </w:rPr>
        <w:t>(1 VP)</w:t>
      </w:r>
    </w:p>
    <w:p w14:paraId="2C84A7DB" w14:textId="29C06CCB" w:rsidR="00096A09" w:rsidRPr="00EE2121" w:rsidRDefault="00EE2121" w:rsidP="00EE2121">
      <w:pPr>
        <w:pStyle w:val="ekvaufzhlung"/>
        <w:rPr>
          <w:rStyle w:val="ekvlsung"/>
        </w:rPr>
      </w:pPr>
      <w:r w:rsidRPr="00EE2121">
        <w:rPr>
          <w:rStyle w:val="ekvlsung"/>
        </w:rPr>
        <w:t>-</w:t>
      </w:r>
      <w:r w:rsidRPr="00EE2121">
        <w:rPr>
          <w:rStyle w:val="ekvlsung"/>
        </w:rPr>
        <w:tab/>
        <w:t xml:space="preserve">verändertes Rollenverständnis der Frau mit schwer vorhersagbaren Auswirkungen auf den Kinderwunsch in den Familien </w:t>
      </w:r>
      <w:r w:rsidR="00353FF6" w:rsidRPr="00353FF6">
        <w:rPr>
          <w:rStyle w:val="ekvlsung"/>
        </w:rPr>
        <w:t>(1 VP)</w:t>
      </w:r>
    </w:p>
    <w:p w14:paraId="06F0333A" w14:textId="77777777" w:rsidR="00EE2121" w:rsidRDefault="00EE2121" w:rsidP="00096A09"/>
    <w:p w14:paraId="4393DACC" w14:textId="2C7BFA56" w:rsidR="00D0196D" w:rsidRPr="00D0196D" w:rsidRDefault="00693298" w:rsidP="00D0196D">
      <w:pPr>
        <w:pStyle w:val="ekvaufzhlung"/>
        <w:rPr>
          <w:rStyle w:val="ekvfett"/>
        </w:rPr>
      </w:pPr>
      <w:r w:rsidRPr="00693298">
        <w:rPr>
          <w:rStyle w:val="ekvfett"/>
        </w:rPr>
        <w:t>d)</w:t>
      </w:r>
      <w:r w:rsidRPr="00693298">
        <w:rPr>
          <w:rStyle w:val="ekvfett"/>
        </w:rPr>
        <w:tab/>
        <w:t>Ich kann Ursachen für den „zweiten demographischen Übergang“ erläutern.</w:t>
      </w:r>
      <w:r w:rsidR="000711B5">
        <w:rPr>
          <w:rStyle w:val="ekvfett"/>
        </w:rPr>
        <w:t xml:space="preserve"> </w:t>
      </w:r>
      <w:r w:rsidR="000711B5" w:rsidRPr="000711B5">
        <w:rPr>
          <w:rStyle w:val="ekvfett"/>
        </w:rPr>
        <w:t>(S.</w:t>
      </w:r>
      <w:r w:rsidR="000711B5">
        <w:rPr>
          <w:rStyle w:val="ekvfett"/>
        </w:rPr>
        <w:t> </w:t>
      </w:r>
      <w:r w:rsidR="000711B5" w:rsidRPr="000711B5">
        <w:rPr>
          <w:rStyle w:val="ekvfett"/>
        </w:rPr>
        <w:t>248)</w:t>
      </w:r>
    </w:p>
    <w:p w14:paraId="1A3D9F99" w14:textId="77777777" w:rsidR="00D0196D" w:rsidRDefault="00D0196D" w:rsidP="00D0196D"/>
    <w:p w14:paraId="76A30700" w14:textId="3DC04890" w:rsidR="00D0196D" w:rsidRPr="00693298" w:rsidRDefault="000711B5" w:rsidP="00D0196D">
      <w:pPr>
        <w:pStyle w:val="ekvaufzhlung"/>
        <w:rPr>
          <w:rStyle w:val="ekvgrau"/>
        </w:rPr>
      </w:pPr>
      <w:r>
        <w:rPr>
          <w:rStyle w:val="ekvnummerierung"/>
        </w:rPr>
        <w:t>3</w:t>
      </w:r>
      <w:r w:rsidR="00D0196D">
        <w:tab/>
      </w:r>
      <w:r w:rsidR="00693298" w:rsidRPr="00693298">
        <w:t>Erläutern Sie Ursachen für den „zweiten demografischen Übergang“.</w:t>
      </w:r>
      <w:r w:rsidR="00693298">
        <w:tab/>
      </w:r>
      <w:r w:rsidR="00693298">
        <w:rPr>
          <w:rStyle w:val="ekvgrau"/>
        </w:rPr>
        <w:t>(4 VP.)</w:t>
      </w:r>
    </w:p>
    <w:p w14:paraId="2FB00155" w14:textId="7AFA164D" w:rsidR="00693298" w:rsidRPr="00693298" w:rsidRDefault="00693298" w:rsidP="00353FF6">
      <w:pPr>
        <w:pStyle w:val="ekvgrundtexthalbe"/>
      </w:pPr>
    </w:p>
    <w:p w14:paraId="0549B8DC" w14:textId="5A758B24" w:rsidR="00693298" w:rsidRPr="00353FF6" w:rsidRDefault="00353FF6" w:rsidP="00D0196D">
      <w:pPr>
        <w:rPr>
          <w:rStyle w:val="ekvlsung"/>
        </w:rPr>
      </w:pPr>
      <w:r w:rsidRPr="00353FF6">
        <w:rPr>
          <w:rStyle w:val="ekvlsung"/>
        </w:rPr>
        <w:t>Der „zweite demografische Übergang“ bezeichnet den deutlichen Rückgang der Gesamtfruchtbarkeits</w:t>
      </w:r>
      <w:r>
        <w:rPr>
          <w:rStyle w:val="ekvlsung"/>
        </w:rPr>
        <w:softHyphen/>
      </w:r>
      <w:r w:rsidRPr="00353FF6">
        <w:rPr>
          <w:rStyle w:val="ekvlsung"/>
        </w:rPr>
        <w:t>rate in vielen westlichen Ländern seit der Mitte der 1960er-Jahre (1 VP). Er ist in erster Linie auf das Ansteigen des Lebensstandards und der Lebensansprüche, auf das erhöhte Bildungsniveau der Frau mit entsprechenden Auswirkungen auf ihr Rollenverständnis und auf die wachsenden Schwierigkeiten bei der Vereinbarkeit von Familie du Beruf zurückzuführen (2 VP). Grundlage waren moderne Möglichkeiten der Empfängnisverhütung („Pillenknick“) (1 VP).</w:t>
      </w:r>
    </w:p>
    <w:p w14:paraId="6FC13C27" w14:textId="62349CF5" w:rsidR="00D0196D" w:rsidRDefault="00D0196D" w:rsidP="00D0196D"/>
    <w:p w14:paraId="04ADEC3A" w14:textId="7D0BC383" w:rsidR="00693298" w:rsidRPr="00693298" w:rsidRDefault="000711B5" w:rsidP="00693298">
      <w:pPr>
        <w:pStyle w:val="ekvaufzhlung"/>
        <w:rPr>
          <w:rStyle w:val="ekvfett"/>
        </w:rPr>
      </w:pPr>
      <w:r>
        <w:rPr>
          <w:rStyle w:val="ekvfett"/>
        </w:rPr>
        <w:br w:type="column"/>
      </w:r>
      <w:r w:rsidR="00693298" w:rsidRPr="00693298">
        <w:rPr>
          <w:rStyle w:val="ekvfett"/>
        </w:rPr>
        <w:lastRenderedPageBreak/>
        <w:t>e)</w:t>
      </w:r>
      <w:r w:rsidR="00693298" w:rsidRPr="00693298">
        <w:rPr>
          <w:rStyle w:val="ekvfett"/>
        </w:rPr>
        <w:tab/>
        <w:t>Ich kann Grundformen von „Bevölkerungspyramiden“ charakterisieren.</w:t>
      </w:r>
      <w:r>
        <w:rPr>
          <w:rStyle w:val="ekvfett"/>
        </w:rPr>
        <w:t xml:space="preserve"> </w:t>
      </w:r>
      <w:r w:rsidRPr="000711B5">
        <w:rPr>
          <w:rStyle w:val="ekvfett"/>
        </w:rPr>
        <w:t>(S. 250/251)</w:t>
      </w:r>
    </w:p>
    <w:p w14:paraId="1F4C1C34" w14:textId="77777777" w:rsidR="00693298" w:rsidRDefault="00693298" w:rsidP="00693298"/>
    <w:p w14:paraId="17765306" w14:textId="25C61099" w:rsidR="00693298" w:rsidRPr="00693298" w:rsidRDefault="000711B5" w:rsidP="00693298">
      <w:pPr>
        <w:pStyle w:val="ekvaufzhlung"/>
        <w:rPr>
          <w:rStyle w:val="ekvgrau"/>
        </w:rPr>
      </w:pPr>
      <w:r>
        <w:rPr>
          <w:rStyle w:val="ekvnummerierung"/>
        </w:rPr>
        <w:t>4</w:t>
      </w:r>
      <w:r w:rsidR="00693298">
        <w:tab/>
        <w:t>Charakterisieren Sie Grundformen von „Bevölkerungspyramiden“.</w:t>
      </w:r>
      <w:r w:rsidR="00693298">
        <w:tab/>
      </w:r>
      <w:r w:rsidR="00693298">
        <w:rPr>
          <w:rStyle w:val="ekvgrau"/>
        </w:rPr>
        <w:t>(3 VP.)</w:t>
      </w:r>
    </w:p>
    <w:p w14:paraId="3D13C0AF" w14:textId="4FBCD17E" w:rsidR="00693298" w:rsidRPr="00693298" w:rsidRDefault="00693298" w:rsidP="00353FF6">
      <w:pPr>
        <w:pStyle w:val="ekvgrundtexthalbe"/>
      </w:pPr>
    </w:p>
    <w:p w14:paraId="34022BC5" w14:textId="4BF001D5" w:rsidR="00693298" w:rsidRPr="00353FF6" w:rsidRDefault="00353FF6" w:rsidP="00D0196D">
      <w:pPr>
        <w:rPr>
          <w:rStyle w:val="ekvlsung"/>
        </w:rPr>
      </w:pPr>
      <w:r w:rsidRPr="00353FF6">
        <w:rPr>
          <w:rStyle w:val="ekvlsung"/>
        </w:rPr>
        <w:t>Die „Pyramidenform“ mit breiter Basis und dünner Spitze weist auf eine stark wachsende Bevölkerung hin (1 VP). Die „Glockenform“, bei der die Basis nur noch unwesentlich breiter ist als der Bereich der mittleren Jahrgänge, deutet auf Stagnation in der Bevölkerungsentwicklung hin (1 VP). Eine „Urnenform“ mit nur noch dünner Basis und stark besetzten mittleren sowie älteren Jahrgängen ist Kennzeichen einer allmählich schrumpfenden Bevölkerung. (1 VP)</w:t>
      </w:r>
    </w:p>
    <w:p w14:paraId="74ED36E5" w14:textId="3A778FDB" w:rsidR="00353FF6" w:rsidRDefault="00353FF6" w:rsidP="000711B5"/>
    <w:p w14:paraId="5FCC1031" w14:textId="78C02200" w:rsidR="00096A09" w:rsidRDefault="00096A09" w:rsidP="00096A09">
      <w:pPr>
        <w:pStyle w:val="ekvue3arial"/>
      </w:pPr>
      <w:r>
        <w:t>3.</w:t>
      </w:r>
      <w:r>
        <w:tab/>
        <w:t>Methodenkompetenz</w:t>
      </w:r>
    </w:p>
    <w:p w14:paraId="3296248F" w14:textId="12165254" w:rsidR="00096A09" w:rsidRPr="00B94B81" w:rsidRDefault="00FC700C" w:rsidP="00096A09">
      <w:pPr>
        <w:pStyle w:val="ekvaufzhlung"/>
        <w:rPr>
          <w:rStyle w:val="ekvfett"/>
        </w:rPr>
      </w:pPr>
      <w:r w:rsidRPr="00FC700C">
        <w:rPr>
          <w:rStyle w:val="ekvfett"/>
        </w:rPr>
        <w:t>a)</w:t>
      </w:r>
      <w:r w:rsidRPr="00FC700C">
        <w:rPr>
          <w:rStyle w:val="ekvfett"/>
        </w:rPr>
        <w:tab/>
      </w:r>
      <w:r w:rsidR="0002757F" w:rsidRPr="0002757F">
        <w:rPr>
          <w:rStyle w:val="ekvfett"/>
        </w:rPr>
        <w:t>Ich kann anhand von Altersstrukturdiagrammen den Altersaufbau der Bevölkerung charakterisieren.</w:t>
      </w:r>
      <w:r w:rsidR="000711B5">
        <w:rPr>
          <w:rStyle w:val="ekvfett"/>
        </w:rPr>
        <w:t xml:space="preserve"> </w:t>
      </w:r>
      <w:r w:rsidR="000711B5" w:rsidRPr="000711B5">
        <w:rPr>
          <w:rStyle w:val="ekvfett"/>
        </w:rPr>
        <w:t>(S. 250/251)</w:t>
      </w:r>
    </w:p>
    <w:p w14:paraId="0773C358" w14:textId="77777777" w:rsidR="00096A09" w:rsidRDefault="00096A09" w:rsidP="00096A09"/>
    <w:p w14:paraId="7F831928" w14:textId="2983026B" w:rsidR="00096A09" w:rsidRPr="0002757F" w:rsidRDefault="00FC700C" w:rsidP="00096A09">
      <w:pPr>
        <w:pStyle w:val="ekvaufzhlung"/>
        <w:rPr>
          <w:rStyle w:val="ekvgrau"/>
        </w:rPr>
      </w:pPr>
      <w:r w:rsidRPr="00FC700C">
        <w:rPr>
          <w:rStyle w:val="ekvnummerierung"/>
        </w:rPr>
        <w:t>1</w:t>
      </w:r>
      <w:r w:rsidRPr="00FC700C">
        <w:rPr>
          <w:rStyle w:val="ekvnummerierung"/>
        </w:rPr>
        <w:tab/>
      </w:r>
      <w:r w:rsidR="0002757F" w:rsidRPr="0002757F">
        <w:t xml:space="preserve">Charakterisieren Sie anhand der folgenden Grafik den Altersaufbau der Bevölkerung von Europa </w:t>
      </w:r>
      <w:r w:rsidR="00522BFB">
        <w:br/>
      </w:r>
      <w:r w:rsidR="0002757F" w:rsidRPr="0002757F">
        <w:t>2013 und 2080.</w:t>
      </w:r>
      <w:r w:rsidR="0002757F">
        <w:tab/>
      </w:r>
      <w:r w:rsidR="0002757F">
        <w:rPr>
          <w:rStyle w:val="ekvgrau"/>
        </w:rPr>
        <w:t>(4 VP.)</w:t>
      </w:r>
    </w:p>
    <w:p w14:paraId="68060306" w14:textId="318C2928" w:rsidR="00FC700C" w:rsidRDefault="00FC700C" w:rsidP="00FC700C">
      <w:pPr>
        <w:pStyle w:val="ekvgrundtexthalbe"/>
      </w:pPr>
    </w:p>
    <w:p w14:paraId="74885E45" w14:textId="5FAA8B10" w:rsidR="00FC700C" w:rsidRDefault="0002757F" w:rsidP="0002757F">
      <w:pPr>
        <w:pStyle w:val="ekvbild"/>
      </w:pPr>
      <w:r>
        <w:drawing>
          <wp:inline distT="0" distB="0" distL="0" distR="0" wp14:anchorId="4E5D7A56" wp14:editId="73A5888C">
            <wp:extent cx="4013817" cy="2205990"/>
            <wp:effectExtent l="0" t="0" r="6350" b="3810"/>
            <wp:docPr id="2" name="Grafik 2" descr="S640104703_035_EU_Bev-pyramide.png"/>
            <wp:cNvGraphicFramePr/>
            <a:graphic xmlns:a="http://schemas.openxmlformats.org/drawingml/2006/main">
              <a:graphicData uri="http://schemas.openxmlformats.org/drawingml/2006/picture">
                <pic:pic xmlns:pic="http://schemas.openxmlformats.org/drawingml/2006/picture">
                  <pic:nvPicPr>
                    <pic:cNvPr id="2" name="Grafik 2" descr="S640104703_035_EU_Bev-pyramide.png"/>
                    <pic:cNvPicPr/>
                  </pic:nvPicPr>
                  <pic:blipFill rotWithShape="1">
                    <a:blip r:embed="rId6" cstate="print">
                      <a:extLst>
                        <a:ext uri="{28A0092B-C50C-407E-A947-70E740481C1C}">
                          <a14:useLocalDpi xmlns:a14="http://schemas.microsoft.com/office/drawing/2010/main" val="0"/>
                        </a:ext>
                      </a:extLst>
                    </a:blip>
                    <a:srcRect b="13625"/>
                    <a:stretch/>
                  </pic:blipFill>
                  <pic:spPr bwMode="auto">
                    <a:xfrm>
                      <a:off x="0" y="0"/>
                      <a:ext cx="4014224" cy="2206214"/>
                    </a:xfrm>
                    <a:prstGeom prst="rect">
                      <a:avLst/>
                    </a:prstGeom>
                    <a:ln>
                      <a:noFill/>
                    </a:ln>
                    <a:extLst>
                      <a:ext uri="{53640926-AAD7-44D8-BBD7-CCE9431645EC}">
                        <a14:shadowObscured xmlns:a14="http://schemas.microsoft.com/office/drawing/2010/main"/>
                      </a:ext>
                    </a:extLst>
                  </pic:spPr>
                </pic:pic>
              </a:graphicData>
            </a:graphic>
          </wp:inline>
        </w:drawing>
      </w:r>
    </w:p>
    <w:p w14:paraId="32AFF230" w14:textId="260DFDAD" w:rsidR="00522BFB" w:rsidRPr="00522BFB" w:rsidRDefault="00522BFB" w:rsidP="007322ED">
      <w:pPr>
        <w:pStyle w:val="ekvgrundtexthalbe"/>
      </w:pPr>
    </w:p>
    <w:p w14:paraId="1C116E3C" w14:textId="22A692E2" w:rsidR="007322ED" w:rsidRPr="007322ED" w:rsidRDefault="007322ED" w:rsidP="007322ED">
      <w:pPr>
        <w:rPr>
          <w:rStyle w:val="ekvlsung"/>
        </w:rPr>
      </w:pPr>
      <w:r w:rsidRPr="007322ED">
        <w:rPr>
          <w:rStyle w:val="ekvlsung"/>
        </w:rPr>
        <w:t>Bereits im Jahre 2013 war die Basis mit den jüngeren Jahrgängen relativ schmal. Allerdings gab es noch einen starken Anteil der mittleren Jahrgänge im erwerbsfähigen Alter. Die schmaler werdende Basis wies aber auf eine stagnierende bzw. nur noch schwach wachsende Bevölkerung hin. (2 VP)</w:t>
      </w:r>
    </w:p>
    <w:p w14:paraId="4AB6837D" w14:textId="031A77F0" w:rsidR="00522BFB" w:rsidRPr="007322ED" w:rsidRDefault="007322ED" w:rsidP="007322ED">
      <w:pPr>
        <w:rPr>
          <w:rStyle w:val="ekvlsung"/>
        </w:rPr>
      </w:pPr>
      <w:r w:rsidRPr="007322ED">
        <w:rPr>
          <w:rStyle w:val="ekvlsung"/>
        </w:rPr>
        <w:t xml:space="preserve">Die jüngeren Jahrgänge gehen 2080 etwas, die mittleren stärker zurück. Signifikant ist, dass das Alter der Bevölkerung deutlich ansteigt. Der Anteil der über 80-Jährigen an der Bevölkerung wird sich mehr als verdoppeln. Für das Jahr 2080 wird ein hoher Anteil der über 65-, vor allem aber auch der über </w:t>
      </w:r>
      <w:r>
        <w:rPr>
          <w:rStyle w:val="ekvlsung"/>
        </w:rPr>
        <w:br/>
      </w:r>
      <w:r w:rsidRPr="007322ED">
        <w:rPr>
          <w:rStyle w:val="ekvlsung"/>
        </w:rPr>
        <w:t>85-Jährigen prognostiziert. (2 VP)</w:t>
      </w:r>
    </w:p>
    <w:p w14:paraId="3BFF82B7" w14:textId="63F3B8D1" w:rsidR="00522BFB" w:rsidRDefault="00522BFB" w:rsidP="00096A09"/>
    <w:p w14:paraId="180625B6" w14:textId="77777777" w:rsidR="00522BFB" w:rsidRDefault="00522BFB">
      <w:pPr>
        <w:tabs>
          <w:tab w:val="clear" w:pos="340"/>
          <w:tab w:val="clear" w:pos="595"/>
          <w:tab w:val="clear" w:pos="851"/>
        </w:tabs>
        <w:spacing w:after="160" w:line="259" w:lineRule="auto"/>
      </w:pPr>
      <w:r>
        <w:br w:type="page"/>
      </w:r>
    </w:p>
    <w:p w14:paraId="45178671" w14:textId="1C5EE800" w:rsidR="00D66056" w:rsidRPr="00D66056" w:rsidRDefault="00D66056" w:rsidP="00D66056">
      <w:pPr>
        <w:pStyle w:val="ekvaufzhlung"/>
        <w:rPr>
          <w:rStyle w:val="ekvfett"/>
        </w:rPr>
      </w:pPr>
      <w:r w:rsidRPr="00D66056">
        <w:rPr>
          <w:rStyle w:val="ekvfett"/>
        </w:rPr>
        <w:lastRenderedPageBreak/>
        <w:t>c)</w:t>
      </w:r>
      <w:r w:rsidRPr="00D66056">
        <w:rPr>
          <w:rStyle w:val="ekvfett"/>
        </w:rPr>
        <w:tab/>
        <w:t xml:space="preserve">Ich kann eine Karikatur im Hinblick auf Folgen der demografischen Alterung interpretieren. </w:t>
      </w:r>
      <w:r w:rsidR="00173505" w:rsidRPr="00173505">
        <w:rPr>
          <w:rStyle w:val="ekvfett"/>
        </w:rPr>
        <w:t>(S.</w:t>
      </w:r>
      <w:r w:rsidR="00173505">
        <w:rPr>
          <w:rStyle w:val="ekvfett"/>
        </w:rPr>
        <w:t> </w:t>
      </w:r>
      <w:r w:rsidR="00173505" w:rsidRPr="00173505">
        <w:rPr>
          <w:rStyle w:val="ekvfett"/>
        </w:rPr>
        <w:t>250)</w:t>
      </w:r>
    </w:p>
    <w:p w14:paraId="328D7ADD" w14:textId="77777777" w:rsidR="00D66056" w:rsidRDefault="00D66056" w:rsidP="00D66056"/>
    <w:p w14:paraId="0D28C8AB" w14:textId="424AFB49" w:rsidR="00522BFB" w:rsidRDefault="00173505" w:rsidP="00D66056">
      <w:pPr>
        <w:pStyle w:val="ekvaufzhlung"/>
      </w:pPr>
      <w:r>
        <w:rPr>
          <w:rStyle w:val="ekvnummerierung"/>
        </w:rPr>
        <w:t>2</w:t>
      </w:r>
      <w:r w:rsidR="00D66056">
        <w:tab/>
        <w:t>Interpretieren Sie die untenstehende Karikatur im Hinblick auf Folgen der demografischen Alterung.</w:t>
      </w:r>
      <w:r w:rsidR="00D66056">
        <w:tab/>
      </w:r>
      <w:r w:rsidR="00D66056" w:rsidRPr="00D66056">
        <w:rPr>
          <w:rStyle w:val="ekvgrau"/>
        </w:rPr>
        <w:t>(6 VP.)</w:t>
      </w:r>
    </w:p>
    <w:p w14:paraId="4F76C09E" w14:textId="19C85088" w:rsidR="00522BFB" w:rsidRDefault="00522BFB" w:rsidP="00D66056">
      <w:pPr>
        <w:pStyle w:val="ekvgrundtexthalbe"/>
      </w:pPr>
    </w:p>
    <w:p w14:paraId="34C630CC" w14:textId="6BA77828" w:rsidR="00522BFB" w:rsidRDefault="00D66056" w:rsidP="00D66056">
      <w:pPr>
        <w:pStyle w:val="ekvbild"/>
      </w:pPr>
      <w:r>
        <w:drawing>
          <wp:inline distT="0" distB="0" distL="0" distR="0" wp14:anchorId="62276756" wp14:editId="0250AA72">
            <wp:extent cx="4528118" cy="3474727"/>
            <wp:effectExtent l="0" t="0" r="6350" b="0"/>
            <wp:docPr id="1" name="Grafik 1" descr="AAP_104.png"/>
            <wp:cNvGraphicFramePr/>
            <a:graphic xmlns:a="http://schemas.openxmlformats.org/drawingml/2006/main">
              <a:graphicData uri="http://schemas.openxmlformats.org/drawingml/2006/picture">
                <pic:pic xmlns:pic="http://schemas.openxmlformats.org/drawingml/2006/picture">
                  <pic:nvPicPr>
                    <pic:cNvPr id="1" name="Grafik 1" descr="AAP_1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28118" cy="3474727"/>
                    </a:xfrm>
                    <a:prstGeom prst="rect">
                      <a:avLst/>
                    </a:prstGeom>
                  </pic:spPr>
                </pic:pic>
              </a:graphicData>
            </a:graphic>
          </wp:inline>
        </w:drawing>
      </w:r>
    </w:p>
    <w:p w14:paraId="320C9A29" w14:textId="1B418A6C" w:rsidR="00D66056" w:rsidRPr="00D66056" w:rsidRDefault="00D66056" w:rsidP="007322ED">
      <w:pPr>
        <w:pStyle w:val="ekvgrundtexthalbe"/>
      </w:pPr>
    </w:p>
    <w:p w14:paraId="79EC6506" w14:textId="2943F6A1" w:rsidR="007322ED" w:rsidRPr="007322ED" w:rsidRDefault="007322ED" w:rsidP="007322ED">
      <w:pPr>
        <w:rPr>
          <w:rStyle w:val="ekvlsung"/>
        </w:rPr>
      </w:pPr>
      <w:r w:rsidRPr="007322ED">
        <w:rPr>
          <w:rStyle w:val="ekvlsung"/>
        </w:rPr>
        <w:t>Beschreibung: Ein Bauarbeiter trägt einen Balken, auf dem zwei Rentner und ein Schüler sitzen; er weist einen Jugendlichen aus einer Ein-Kind-Familie darauf hin, dass der im Erwachsenenalter einen viel größeren Balken (mit der Aufschrift „Generationen-Vertrag“) mit insgesamt fünf – entsprechend besorgt dreinblickenden – Rentnern zu schultern hat. (2 VP)</w:t>
      </w:r>
    </w:p>
    <w:p w14:paraId="7CEC7ECD" w14:textId="77777777" w:rsidR="007322ED" w:rsidRPr="007322ED" w:rsidRDefault="007322ED" w:rsidP="007322ED">
      <w:pPr>
        <w:rPr>
          <w:rStyle w:val="ekvlsung"/>
        </w:rPr>
      </w:pPr>
      <w:r w:rsidRPr="007322ED">
        <w:rPr>
          <w:rStyle w:val="ekvlsung"/>
        </w:rPr>
        <w:t>Erklärung: Bei zurückgehenden Geburtenraten und Fruchtbarkeitsziffern nimmt die „Altenlast“ in der Gesellschaft sehr stark zu, sodass eine immer kleinere Zahl von Erwerbstätigen eine immer größere Zahl an noch nicht oder nicht mehr Berufstätigen versorgen bzw. „tragen“ muss. Der Generationenvertrag in seiner jetzigen Struktur ist gefährdet. (2 VP)</w:t>
      </w:r>
    </w:p>
    <w:p w14:paraId="4D78F316" w14:textId="0F231CC6" w:rsidR="00D66056" w:rsidRPr="007322ED" w:rsidRDefault="007322ED" w:rsidP="007322ED">
      <w:pPr>
        <w:rPr>
          <w:rStyle w:val="ekvlsung"/>
        </w:rPr>
      </w:pPr>
      <w:r w:rsidRPr="007322ED">
        <w:rPr>
          <w:rStyle w:val="ekvlsung"/>
        </w:rPr>
        <w:t>Schlussfolgerung: Entweder müssen neue Strukturen und Finanzierungssysteme für die soziale Sicherung gefunden werden oder es müssen – zum Beispiel durch eine wir-kungsvolle Familienpolitik - Maßnahmen ergriffen werden, um die Geburtenraten wie-der zu erhöhen. (2 VP)</w:t>
      </w:r>
    </w:p>
    <w:p w14:paraId="4A151CF3" w14:textId="24458738" w:rsidR="00D66056" w:rsidRDefault="00D66056" w:rsidP="00522BFB"/>
    <w:p w14:paraId="1A613ED8" w14:textId="77777777" w:rsidR="00D66056" w:rsidRDefault="00D66056">
      <w:pPr>
        <w:tabs>
          <w:tab w:val="clear" w:pos="340"/>
          <w:tab w:val="clear" w:pos="595"/>
          <w:tab w:val="clear" w:pos="851"/>
        </w:tabs>
        <w:spacing w:after="160" w:line="259" w:lineRule="auto"/>
      </w:pPr>
      <w:r>
        <w:br w:type="page"/>
      </w:r>
    </w:p>
    <w:p w14:paraId="61BCA859" w14:textId="3BF82F81" w:rsidR="00DB4BA3" w:rsidRPr="00DB4BA3" w:rsidRDefault="00DB4BA3" w:rsidP="00DB4BA3">
      <w:pPr>
        <w:pStyle w:val="ekvaufzhlung"/>
        <w:rPr>
          <w:rStyle w:val="ekvfett"/>
        </w:rPr>
      </w:pPr>
      <w:r w:rsidRPr="00DB4BA3">
        <w:rPr>
          <w:rStyle w:val="ekvfett"/>
        </w:rPr>
        <w:lastRenderedPageBreak/>
        <w:t>d)</w:t>
      </w:r>
      <w:r w:rsidRPr="00DB4BA3">
        <w:rPr>
          <w:rStyle w:val="ekvfett"/>
        </w:rPr>
        <w:tab/>
        <w:t xml:space="preserve">Ich kann ein „Push- und Pull-Modell der internationalen Migration“ erstellen. </w:t>
      </w:r>
      <w:r w:rsidR="00173505" w:rsidRPr="00173505">
        <w:rPr>
          <w:rStyle w:val="ekvfett"/>
        </w:rPr>
        <w:t>(S. 254</w:t>
      </w:r>
      <w:r w:rsidR="00173505">
        <w:rPr>
          <w:rStyle w:val="ekvfett"/>
        </w:rPr>
        <w:t>–</w:t>
      </w:r>
      <w:r w:rsidR="00173505" w:rsidRPr="00173505">
        <w:rPr>
          <w:rStyle w:val="ekvfett"/>
        </w:rPr>
        <w:t>257)</w:t>
      </w:r>
    </w:p>
    <w:p w14:paraId="1D93588B" w14:textId="77777777" w:rsidR="00DB4BA3" w:rsidRDefault="00DB4BA3" w:rsidP="00DB4BA3"/>
    <w:p w14:paraId="77416ED3" w14:textId="1F41FC4C" w:rsidR="00522BFB" w:rsidRDefault="00173505" w:rsidP="00DB4BA3">
      <w:pPr>
        <w:pStyle w:val="ekvaufzhlung"/>
      </w:pPr>
      <w:r>
        <w:rPr>
          <w:rStyle w:val="ekvnummerierung"/>
        </w:rPr>
        <w:t>3</w:t>
      </w:r>
      <w:r w:rsidR="00DB4BA3">
        <w:tab/>
        <w:t>Erstellen Sie ein „Push- und Pull-Modell“ der internationalen Migration.</w:t>
      </w:r>
      <w:r w:rsidR="00DB4BA3">
        <w:tab/>
      </w:r>
      <w:r w:rsidR="00DB4BA3" w:rsidRPr="00DB4BA3">
        <w:rPr>
          <w:rStyle w:val="ekvgrau"/>
        </w:rPr>
        <w:t>(8 VP.)</w:t>
      </w:r>
    </w:p>
    <w:p w14:paraId="72B804C3" w14:textId="01C25F65" w:rsidR="00522BFB" w:rsidRDefault="00522BFB" w:rsidP="002E41A8">
      <w:pPr>
        <w:pStyle w:val="ekvgrundtexthalbe"/>
      </w:pPr>
    </w:p>
    <w:tbl>
      <w:tblPr>
        <w:tblW w:w="9356" w:type="dxa"/>
        <w:tblLayout w:type="fixed"/>
        <w:tblCellMar>
          <w:left w:w="0" w:type="dxa"/>
          <w:right w:w="0" w:type="dxa"/>
        </w:tblCellMar>
        <w:tblLook w:val="01E0" w:firstRow="1" w:lastRow="1" w:firstColumn="1" w:lastColumn="1" w:noHBand="0" w:noVBand="0"/>
      </w:tblPr>
      <w:tblGrid>
        <w:gridCol w:w="3118"/>
        <w:gridCol w:w="567"/>
        <w:gridCol w:w="1985"/>
        <w:gridCol w:w="567"/>
        <w:gridCol w:w="3119"/>
      </w:tblGrid>
      <w:tr w:rsidR="002E41A8" w:rsidRPr="002E41A8" w14:paraId="74864DF5" w14:textId="77777777" w:rsidTr="001C5CA0">
        <w:trPr>
          <w:trHeight w:val="284"/>
        </w:trPr>
        <w:tc>
          <w:tcPr>
            <w:tcW w:w="3119" w:type="dxa"/>
            <w:tcBorders>
              <w:bottom w:val="single" w:sz="8" w:space="0" w:color="333333"/>
              <w:right w:val="single" w:sz="4" w:space="0" w:color="333333"/>
            </w:tcBorders>
            <w:shd w:val="clear" w:color="auto" w:fill="FFFFFF" w:themeFill="background1"/>
          </w:tcPr>
          <w:p w14:paraId="1E9CC044" w14:textId="37D28104" w:rsidR="002E41A8" w:rsidRPr="002E41A8" w:rsidRDefault="002E41A8" w:rsidP="00AC4074">
            <w:pPr>
              <w:pStyle w:val="ekvtabelle"/>
              <w:rPr>
                <w:b/>
              </w:rPr>
            </w:pPr>
            <w:r w:rsidRPr="002E41A8">
              <w:rPr>
                <w:b/>
              </w:rPr>
              <w:t>Push-Faktoren</w:t>
            </w:r>
          </w:p>
        </w:tc>
        <w:tc>
          <w:tcPr>
            <w:tcW w:w="567" w:type="dxa"/>
            <w:tcBorders>
              <w:left w:val="single" w:sz="4" w:space="0" w:color="333333"/>
              <w:bottom w:val="single" w:sz="8" w:space="0" w:color="333333"/>
            </w:tcBorders>
            <w:shd w:val="clear" w:color="auto" w:fill="FFFFFF" w:themeFill="background1"/>
          </w:tcPr>
          <w:p w14:paraId="7E88A90C" w14:textId="77777777" w:rsidR="002E41A8" w:rsidRPr="002E41A8" w:rsidRDefault="002E41A8" w:rsidP="002E41A8">
            <w:pPr>
              <w:pStyle w:val="ekvtabellelinks"/>
              <w:jc w:val="center"/>
              <w:rPr>
                <w:b/>
              </w:rPr>
            </w:pPr>
          </w:p>
        </w:tc>
        <w:tc>
          <w:tcPr>
            <w:tcW w:w="1985" w:type="dxa"/>
            <w:tcBorders>
              <w:left w:val="single" w:sz="4" w:space="0" w:color="333333"/>
              <w:bottom w:val="single" w:sz="8" w:space="0" w:color="333333"/>
              <w:right w:val="single" w:sz="4" w:space="0" w:color="333333"/>
            </w:tcBorders>
            <w:shd w:val="clear" w:color="auto" w:fill="FFFFFF" w:themeFill="background1"/>
          </w:tcPr>
          <w:p w14:paraId="3B35C9F5" w14:textId="77777777" w:rsidR="002E41A8" w:rsidRPr="002E41A8" w:rsidRDefault="002E41A8" w:rsidP="002E41A8">
            <w:pPr>
              <w:pStyle w:val="ekvtabellelinks"/>
              <w:jc w:val="center"/>
              <w:rPr>
                <w:b/>
              </w:rPr>
            </w:pPr>
          </w:p>
        </w:tc>
        <w:tc>
          <w:tcPr>
            <w:tcW w:w="567" w:type="dxa"/>
            <w:tcBorders>
              <w:left w:val="single" w:sz="4" w:space="0" w:color="333333"/>
              <w:bottom w:val="single" w:sz="8" w:space="0" w:color="333333"/>
              <w:right w:val="single" w:sz="4" w:space="0" w:color="333333"/>
            </w:tcBorders>
            <w:shd w:val="clear" w:color="auto" w:fill="FFFFFF" w:themeFill="background1"/>
          </w:tcPr>
          <w:p w14:paraId="4F8111CF" w14:textId="77777777" w:rsidR="002E41A8" w:rsidRPr="002E41A8" w:rsidRDefault="002E41A8" w:rsidP="002E41A8">
            <w:pPr>
              <w:pStyle w:val="ekvtabellelinks"/>
              <w:jc w:val="center"/>
              <w:rPr>
                <w:b/>
              </w:rPr>
            </w:pPr>
          </w:p>
        </w:tc>
        <w:tc>
          <w:tcPr>
            <w:tcW w:w="3119" w:type="dxa"/>
            <w:tcBorders>
              <w:left w:val="single" w:sz="4" w:space="0" w:color="333333"/>
              <w:bottom w:val="single" w:sz="8" w:space="0" w:color="333333"/>
            </w:tcBorders>
            <w:shd w:val="clear" w:color="auto" w:fill="FFFFFF" w:themeFill="background1"/>
          </w:tcPr>
          <w:p w14:paraId="5BCA21FA" w14:textId="15206619" w:rsidR="002E41A8" w:rsidRPr="002E41A8" w:rsidRDefault="002E41A8" w:rsidP="002E41A8">
            <w:pPr>
              <w:pStyle w:val="ekvtabellelinks"/>
              <w:rPr>
                <w:b/>
              </w:rPr>
            </w:pPr>
            <w:r w:rsidRPr="002E41A8">
              <w:rPr>
                <w:b/>
              </w:rPr>
              <w:t>Pull-Faktoren</w:t>
            </w:r>
          </w:p>
        </w:tc>
      </w:tr>
      <w:tr w:rsidR="002E41A8" w:rsidRPr="003C39DC" w14:paraId="23E8E614" w14:textId="77777777" w:rsidTr="001C5CA0">
        <w:trPr>
          <w:trHeight w:val="284"/>
        </w:trPr>
        <w:tc>
          <w:tcPr>
            <w:tcW w:w="3119" w:type="dxa"/>
            <w:tcBorders>
              <w:top w:val="single" w:sz="8" w:space="0" w:color="333333"/>
              <w:bottom w:val="single" w:sz="4" w:space="0" w:color="333333"/>
              <w:right w:val="single" w:sz="4" w:space="0" w:color="333333"/>
            </w:tcBorders>
          </w:tcPr>
          <w:p w14:paraId="4877C54A" w14:textId="2EFD9AC6" w:rsidR="002E41A8" w:rsidRDefault="002E41A8" w:rsidP="002E41A8">
            <w:pPr>
              <w:pStyle w:val="ekvtabelle"/>
              <w:ind w:left="227" w:hanging="227"/>
            </w:pPr>
            <w:r>
              <w:t>–</w:t>
            </w:r>
            <w:r>
              <w:tab/>
              <w:t>schwache wirtschaftliche Entwicklung</w:t>
            </w:r>
          </w:p>
          <w:p w14:paraId="35D88266" w14:textId="77777777" w:rsidR="002E41A8" w:rsidRDefault="002E41A8" w:rsidP="002E41A8">
            <w:pPr>
              <w:pStyle w:val="ekvtabelle"/>
              <w:ind w:left="227" w:hanging="227"/>
            </w:pPr>
          </w:p>
          <w:p w14:paraId="4E0F46B7" w14:textId="61B7CFD5" w:rsidR="002E41A8" w:rsidRDefault="002E41A8" w:rsidP="002E41A8">
            <w:pPr>
              <w:pStyle w:val="ekvtabelle"/>
              <w:ind w:left="227" w:hanging="227"/>
            </w:pPr>
            <w:r>
              <w:t>–</w:t>
            </w:r>
            <w:r>
              <w:tab/>
              <w:t>Armut und Arbeitslosigkeit</w:t>
            </w:r>
          </w:p>
          <w:p w14:paraId="3B18B525" w14:textId="77777777" w:rsidR="002E41A8" w:rsidRDefault="002E41A8" w:rsidP="002E41A8">
            <w:pPr>
              <w:pStyle w:val="ekvtabelle"/>
              <w:ind w:left="227" w:hanging="227"/>
            </w:pPr>
          </w:p>
          <w:p w14:paraId="3DEA1E0A" w14:textId="0E6D6777" w:rsidR="002E41A8" w:rsidRDefault="002E41A8" w:rsidP="002E41A8">
            <w:pPr>
              <w:pStyle w:val="ekvtabelle"/>
              <w:ind w:left="227" w:hanging="227"/>
            </w:pPr>
            <w:r>
              <w:t>–</w:t>
            </w:r>
            <w:r>
              <w:tab/>
              <w:t>mangelnde Lebens-, Berufsperspektiven</w:t>
            </w:r>
          </w:p>
          <w:p w14:paraId="598F380D" w14:textId="77777777" w:rsidR="002E41A8" w:rsidRDefault="002E41A8" w:rsidP="002E41A8">
            <w:pPr>
              <w:pStyle w:val="ekvtabelle"/>
              <w:ind w:left="227" w:hanging="227"/>
            </w:pPr>
          </w:p>
          <w:p w14:paraId="6666436E" w14:textId="6E6343CE" w:rsidR="002E41A8" w:rsidRDefault="002E41A8" w:rsidP="002E41A8">
            <w:pPr>
              <w:pStyle w:val="ekvtabelle"/>
              <w:ind w:left="227" w:hanging="227"/>
            </w:pPr>
            <w:r>
              <w:t>–</w:t>
            </w:r>
            <w:r>
              <w:tab/>
              <w:t>politische Verfolgung, Bürgerkrieg</w:t>
            </w:r>
          </w:p>
          <w:p w14:paraId="7C35C4B3" w14:textId="77777777" w:rsidR="002E41A8" w:rsidRDefault="002E41A8" w:rsidP="002E41A8">
            <w:pPr>
              <w:pStyle w:val="ekvtabelle"/>
              <w:ind w:left="227" w:hanging="227"/>
            </w:pPr>
          </w:p>
          <w:p w14:paraId="35C7FCE4" w14:textId="6B48D45D" w:rsidR="002E41A8" w:rsidRDefault="002E41A8" w:rsidP="002E41A8">
            <w:pPr>
              <w:pStyle w:val="ekvtabelle"/>
              <w:ind w:left="227" w:hanging="227"/>
            </w:pPr>
            <w:r>
              <w:t>–</w:t>
            </w:r>
            <w:r>
              <w:tab/>
              <w:t xml:space="preserve">ethnische und religiöse Konflikte </w:t>
            </w:r>
          </w:p>
          <w:p w14:paraId="543D8607" w14:textId="77777777" w:rsidR="002E41A8" w:rsidRDefault="002E41A8" w:rsidP="002E41A8">
            <w:pPr>
              <w:pStyle w:val="ekvtabelle"/>
              <w:ind w:left="227" w:hanging="227"/>
            </w:pPr>
          </w:p>
          <w:p w14:paraId="5F699D8C" w14:textId="2F74DAAC" w:rsidR="002E41A8" w:rsidRPr="003C39DC" w:rsidRDefault="002E41A8" w:rsidP="002E41A8">
            <w:pPr>
              <w:pStyle w:val="ekvtabelle"/>
              <w:ind w:left="227" w:hanging="227"/>
            </w:pPr>
            <w:r>
              <w:t>–</w:t>
            </w:r>
            <w:r>
              <w:tab/>
              <w:t xml:space="preserve">Umwelt- und Naturkatastrophen, </w:t>
            </w:r>
            <w:r>
              <w:br/>
              <w:t>hohe Vulnerabilität</w:t>
            </w:r>
          </w:p>
        </w:tc>
        <w:tc>
          <w:tcPr>
            <w:tcW w:w="567" w:type="dxa"/>
            <w:tcBorders>
              <w:top w:val="single" w:sz="8" w:space="0" w:color="333333"/>
              <w:left w:val="single" w:sz="4" w:space="0" w:color="333333"/>
              <w:bottom w:val="single" w:sz="4" w:space="0" w:color="333333"/>
            </w:tcBorders>
          </w:tcPr>
          <w:p w14:paraId="3BFF0435" w14:textId="77777777" w:rsidR="002E41A8" w:rsidRDefault="001C5CA0" w:rsidP="002E41A8">
            <w:pPr>
              <w:pStyle w:val="ekvtabellelinks"/>
              <w:jc w:val="center"/>
            </w:pPr>
            <w:r>
              <w:sym w:font="Wingdings" w:char="F0E0"/>
            </w:r>
          </w:p>
          <w:p w14:paraId="63927D0A" w14:textId="77777777" w:rsidR="001C5CA0" w:rsidRDefault="001C5CA0" w:rsidP="002E41A8">
            <w:pPr>
              <w:pStyle w:val="ekvtabellelinks"/>
              <w:jc w:val="center"/>
            </w:pPr>
          </w:p>
          <w:p w14:paraId="27C44E89" w14:textId="77777777" w:rsidR="001C5CA0" w:rsidRDefault="001C5CA0" w:rsidP="002E41A8">
            <w:pPr>
              <w:pStyle w:val="ekvtabellelinks"/>
              <w:jc w:val="center"/>
            </w:pPr>
          </w:p>
          <w:p w14:paraId="4AAEDEE6" w14:textId="77777777" w:rsidR="001C5CA0" w:rsidRDefault="001C5CA0" w:rsidP="002E41A8">
            <w:pPr>
              <w:pStyle w:val="ekvtabellelinks"/>
              <w:jc w:val="center"/>
            </w:pPr>
            <w:r>
              <w:sym w:font="Wingdings" w:char="F0E0"/>
            </w:r>
          </w:p>
          <w:p w14:paraId="62CF14FB" w14:textId="77777777" w:rsidR="001C5CA0" w:rsidRDefault="001C5CA0" w:rsidP="002E41A8">
            <w:pPr>
              <w:pStyle w:val="ekvtabellelinks"/>
              <w:jc w:val="center"/>
            </w:pPr>
          </w:p>
          <w:p w14:paraId="6DEC8A6D" w14:textId="77777777" w:rsidR="001C5CA0" w:rsidRDefault="001C5CA0" w:rsidP="002E41A8">
            <w:pPr>
              <w:pStyle w:val="ekvtabellelinks"/>
              <w:jc w:val="center"/>
            </w:pPr>
            <w:r>
              <w:sym w:font="Wingdings" w:char="F0E0"/>
            </w:r>
          </w:p>
          <w:p w14:paraId="367060C5" w14:textId="77777777" w:rsidR="001C5CA0" w:rsidRDefault="001C5CA0" w:rsidP="002E41A8">
            <w:pPr>
              <w:pStyle w:val="ekvtabellelinks"/>
              <w:jc w:val="center"/>
            </w:pPr>
          </w:p>
          <w:p w14:paraId="165D857C" w14:textId="77777777" w:rsidR="001C5CA0" w:rsidRDefault="001C5CA0" w:rsidP="002E41A8">
            <w:pPr>
              <w:pStyle w:val="ekvtabellelinks"/>
              <w:jc w:val="center"/>
            </w:pPr>
          </w:p>
          <w:p w14:paraId="7E88167B" w14:textId="77777777" w:rsidR="001C5CA0" w:rsidRDefault="001C5CA0" w:rsidP="002E41A8">
            <w:pPr>
              <w:pStyle w:val="ekvtabellelinks"/>
              <w:jc w:val="center"/>
            </w:pPr>
            <w:r>
              <w:sym w:font="Wingdings" w:char="F0E0"/>
            </w:r>
          </w:p>
          <w:p w14:paraId="5A6F98EF" w14:textId="77777777" w:rsidR="001C5CA0" w:rsidRDefault="001C5CA0" w:rsidP="002E41A8">
            <w:pPr>
              <w:pStyle w:val="ekvtabellelinks"/>
              <w:jc w:val="center"/>
            </w:pPr>
          </w:p>
          <w:p w14:paraId="040F554B" w14:textId="77777777" w:rsidR="001C5CA0" w:rsidRDefault="001C5CA0" w:rsidP="002E41A8">
            <w:pPr>
              <w:pStyle w:val="ekvtabellelinks"/>
              <w:jc w:val="center"/>
            </w:pPr>
            <w:r>
              <w:sym w:font="Wingdings" w:char="F0E0"/>
            </w:r>
          </w:p>
          <w:p w14:paraId="6BFDC69F" w14:textId="77777777" w:rsidR="001C5CA0" w:rsidRDefault="001C5CA0" w:rsidP="002E41A8">
            <w:pPr>
              <w:pStyle w:val="ekvtabellelinks"/>
              <w:jc w:val="center"/>
            </w:pPr>
          </w:p>
          <w:p w14:paraId="71CDF346" w14:textId="01B9A499" w:rsidR="001C5CA0" w:rsidRPr="003C39DC" w:rsidRDefault="001C5CA0" w:rsidP="002E41A8">
            <w:pPr>
              <w:pStyle w:val="ekvtabellelinks"/>
              <w:jc w:val="center"/>
            </w:pPr>
            <w:r>
              <w:sym w:font="Wingdings" w:char="F0E0"/>
            </w:r>
          </w:p>
        </w:tc>
        <w:tc>
          <w:tcPr>
            <w:tcW w:w="1985" w:type="dxa"/>
            <w:tcBorders>
              <w:top w:val="single" w:sz="8" w:space="0" w:color="333333"/>
              <w:left w:val="single" w:sz="4" w:space="0" w:color="333333"/>
              <w:bottom w:val="single" w:sz="4" w:space="0" w:color="333333"/>
              <w:right w:val="single" w:sz="4" w:space="0" w:color="333333"/>
            </w:tcBorders>
          </w:tcPr>
          <w:p w14:paraId="71C10818" w14:textId="77777777" w:rsidR="002E41A8" w:rsidRPr="002E41A8" w:rsidRDefault="002E41A8" w:rsidP="002E41A8">
            <w:pPr>
              <w:pStyle w:val="ekvtabellelinks"/>
              <w:jc w:val="center"/>
              <w:rPr>
                <w:b/>
              </w:rPr>
            </w:pPr>
            <w:r w:rsidRPr="002E41A8">
              <w:rPr>
                <w:b/>
              </w:rPr>
              <w:t>erzwungene Migration</w:t>
            </w:r>
          </w:p>
          <w:p w14:paraId="15606E0B" w14:textId="6C89693E" w:rsidR="002E41A8" w:rsidRDefault="001C5CA0" w:rsidP="002E41A8">
            <w:pPr>
              <w:pStyle w:val="ekvtabellelinks"/>
              <w:jc w:val="center"/>
            </w:pPr>
            <w:r>
              <w:sym w:font="Wingdings" w:char="F0E2"/>
            </w:r>
          </w:p>
          <w:p w14:paraId="2F6A5013" w14:textId="77777777" w:rsidR="002E41A8" w:rsidRDefault="002E41A8" w:rsidP="002E41A8">
            <w:pPr>
              <w:pStyle w:val="ekvtabellelinks"/>
              <w:jc w:val="center"/>
            </w:pPr>
            <w:r>
              <w:t>Flüchtlinge</w:t>
            </w:r>
          </w:p>
          <w:p w14:paraId="1C8EA599" w14:textId="77777777" w:rsidR="002E41A8" w:rsidRDefault="002E41A8" w:rsidP="002E41A8">
            <w:pPr>
              <w:pStyle w:val="ekvtabellelinks"/>
              <w:jc w:val="center"/>
            </w:pPr>
            <w:r>
              <w:t>Verfolgte</w:t>
            </w:r>
          </w:p>
          <w:p w14:paraId="27739701" w14:textId="77777777" w:rsidR="002E41A8" w:rsidRDefault="002E41A8" w:rsidP="002E41A8">
            <w:pPr>
              <w:pStyle w:val="ekvtabellelinks"/>
              <w:jc w:val="center"/>
            </w:pPr>
            <w:r>
              <w:t>Illegale Immigranten</w:t>
            </w:r>
          </w:p>
          <w:p w14:paraId="1874D297" w14:textId="77777777" w:rsidR="002E41A8" w:rsidRDefault="002E41A8" w:rsidP="002E41A8">
            <w:pPr>
              <w:pStyle w:val="ekvtabellelinks"/>
              <w:jc w:val="center"/>
            </w:pPr>
          </w:p>
          <w:p w14:paraId="54BF9A6F" w14:textId="2BD6C128" w:rsidR="002E41A8" w:rsidRDefault="002E41A8" w:rsidP="002E41A8">
            <w:pPr>
              <w:pStyle w:val="ekvtabellelinks"/>
              <w:jc w:val="center"/>
            </w:pPr>
          </w:p>
          <w:p w14:paraId="68BCEE8D" w14:textId="33187AF4" w:rsidR="001C5CA0" w:rsidRDefault="001C5CA0" w:rsidP="002E41A8">
            <w:pPr>
              <w:pStyle w:val="ekvtabellelinks"/>
              <w:jc w:val="center"/>
            </w:pPr>
          </w:p>
          <w:p w14:paraId="4D31B36A" w14:textId="77777777" w:rsidR="001C5CA0" w:rsidRDefault="001C5CA0" w:rsidP="002E41A8">
            <w:pPr>
              <w:pStyle w:val="ekvtabellelinks"/>
              <w:jc w:val="center"/>
            </w:pPr>
          </w:p>
          <w:p w14:paraId="55947B46" w14:textId="77777777" w:rsidR="002E41A8" w:rsidRDefault="002E41A8" w:rsidP="002E41A8">
            <w:pPr>
              <w:pStyle w:val="ekvtabellelinks"/>
              <w:jc w:val="center"/>
            </w:pPr>
          </w:p>
          <w:p w14:paraId="3C4A1C4C" w14:textId="77777777" w:rsidR="002E41A8" w:rsidRDefault="002E41A8" w:rsidP="002E41A8">
            <w:pPr>
              <w:pStyle w:val="ekvtabellelinks"/>
              <w:jc w:val="center"/>
            </w:pPr>
            <w:r>
              <w:t>Legale Immigranten</w:t>
            </w:r>
          </w:p>
          <w:p w14:paraId="022C70B8" w14:textId="77777777" w:rsidR="002E41A8" w:rsidRDefault="002E41A8" w:rsidP="002E41A8">
            <w:pPr>
              <w:pStyle w:val="ekvtabellelinks"/>
              <w:jc w:val="center"/>
            </w:pPr>
            <w:r>
              <w:t>„Gastarbeiter“</w:t>
            </w:r>
          </w:p>
          <w:p w14:paraId="7DED05E7" w14:textId="6E975918" w:rsidR="002E41A8" w:rsidRDefault="001C5CA0" w:rsidP="002E41A8">
            <w:pPr>
              <w:pStyle w:val="ekvtabellelinks"/>
              <w:jc w:val="center"/>
            </w:pPr>
            <w:r>
              <w:sym w:font="Wingdings" w:char="F0E1"/>
            </w:r>
          </w:p>
          <w:p w14:paraId="022E25A2" w14:textId="09085E91" w:rsidR="002E41A8" w:rsidRPr="002E41A8" w:rsidRDefault="002E41A8" w:rsidP="002E41A8">
            <w:pPr>
              <w:pStyle w:val="ekvtabellelinks"/>
              <w:jc w:val="center"/>
              <w:rPr>
                <w:b/>
              </w:rPr>
            </w:pPr>
            <w:r w:rsidRPr="002E41A8">
              <w:rPr>
                <w:b/>
              </w:rPr>
              <w:t>freiwillige Migration</w:t>
            </w:r>
          </w:p>
        </w:tc>
        <w:tc>
          <w:tcPr>
            <w:tcW w:w="567" w:type="dxa"/>
            <w:tcBorders>
              <w:top w:val="single" w:sz="8" w:space="0" w:color="333333"/>
              <w:left w:val="single" w:sz="4" w:space="0" w:color="333333"/>
              <w:bottom w:val="single" w:sz="4" w:space="0" w:color="333333"/>
              <w:right w:val="single" w:sz="4" w:space="0" w:color="333333"/>
            </w:tcBorders>
          </w:tcPr>
          <w:p w14:paraId="08DB0A35" w14:textId="77777777" w:rsidR="002E41A8" w:rsidRDefault="001C5CA0" w:rsidP="002E41A8">
            <w:pPr>
              <w:pStyle w:val="ekvtabellelinks"/>
              <w:jc w:val="center"/>
            </w:pPr>
            <w:r>
              <w:sym w:font="Wingdings" w:char="F0DF"/>
            </w:r>
          </w:p>
          <w:p w14:paraId="2306DDFA" w14:textId="77777777" w:rsidR="001C5CA0" w:rsidRDefault="001C5CA0" w:rsidP="002E41A8">
            <w:pPr>
              <w:pStyle w:val="ekvtabellelinks"/>
              <w:jc w:val="center"/>
            </w:pPr>
          </w:p>
          <w:p w14:paraId="66D73137" w14:textId="77777777" w:rsidR="001C5CA0" w:rsidRDefault="001C5CA0" w:rsidP="002E41A8">
            <w:pPr>
              <w:pStyle w:val="ekvtabellelinks"/>
              <w:jc w:val="center"/>
            </w:pPr>
          </w:p>
          <w:p w14:paraId="5FAC299E" w14:textId="77777777" w:rsidR="001C5CA0" w:rsidRDefault="001C5CA0" w:rsidP="002E41A8">
            <w:pPr>
              <w:pStyle w:val="ekvtabellelinks"/>
              <w:jc w:val="center"/>
            </w:pPr>
            <w:r>
              <w:sym w:font="Wingdings" w:char="F0DF"/>
            </w:r>
          </w:p>
          <w:p w14:paraId="3753FE1A" w14:textId="77777777" w:rsidR="001C5CA0" w:rsidRDefault="001C5CA0" w:rsidP="002E41A8">
            <w:pPr>
              <w:pStyle w:val="ekvtabellelinks"/>
              <w:jc w:val="center"/>
            </w:pPr>
          </w:p>
          <w:p w14:paraId="622211A3" w14:textId="77777777" w:rsidR="001C5CA0" w:rsidRDefault="001C5CA0" w:rsidP="002E41A8">
            <w:pPr>
              <w:pStyle w:val="ekvtabellelinks"/>
              <w:jc w:val="center"/>
            </w:pPr>
          </w:p>
          <w:p w14:paraId="66752075" w14:textId="77777777" w:rsidR="001C5CA0" w:rsidRDefault="001C5CA0" w:rsidP="002E41A8">
            <w:pPr>
              <w:pStyle w:val="ekvtabellelinks"/>
              <w:jc w:val="center"/>
            </w:pPr>
          </w:p>
          <w:p w14:paraId="45539877" w14:textId="77777777" w:rsidR="001C5CA0" w:rsidRDefault="001C5CA0" w:rsidP="002E41A8">
            <w:pPr>
              <w:pStyle w:val="ekvtabellelinks"/>
              <w:jc w:val="center"/>
            </w:pPr>
          </w:p>
          <w:p w14:paraId="5D8774E8" w14:textId="77777777" w:rsidR="001C5CA0" w:rsidRDefault="001C5CA0" w:rsidP="002E41A8">
            <w:pPr>
              <w:pStyle w:val="ekvtabellelinks"/>
              <w:jc w:val="center"/>
            </w:pPr>
            <w:r>
              <w:sym w:font="Wingdings" w:char="F0DF"/>
            </w:r>
          </w:p>
          <w:p w14:paraId="0BF1ECDB" w14:textId="77777777" w:rsidR="001C5CA0" w:rsidRDefault="001C5CA0" w:rsidP="002E41A8">
            <w:pPr>
              <w:pStyle w:val="ekvtabellelinks"/>
              <w:jc w:val="center"/>
            </w:pPr>
          </w:p>
          <w:p w14:paraId="4C9DA6C7" w14:textId="77777777" w:rsidR="001C5CA0" w:rsidRDefault="001C5CA0" w:rsidP="002E41A8">
            <w:pPr>
              <w:pStyle w:val="ekvtabellelinks"/>
              <w:jc w:val="center"/>
            </w:pPr>
          </w:p>
          <w:p w14:paraId="348F5A9A" w14:textId="7A93985D" w:rsidR="001C5CA0" w:rsidRDefault="001C5CA0" w:rsidP="002E41A8">
            <w:pPr>
              <w:pStyle w:val="ekvtabellelinks"/>
              <w:jc w:val="center"/>
            </w:pPr>
            <w:r>
              <w:sym w:font="Wingdings" w:char="F0DF"/>
            </w:r>
          </w:p>
          <w:p w14:paraId="0F707398" w14:textId="77777777" w:rsidR="001C5CA0" w:rsidRDefault="001C5CA0" w:rsidP="002E41A8">
            <w:pPr>
              <w:pStyle w:val="ekvtabellelinks"/>
              <w:jc w:val="center"/>
            </w:pPr>
          </w:p>
          <w:p w14:paraId="61915217" w14:textId="680F3E52" w:rsidR="001C5CA0" w:rsidRPr="003C39DC" w:rsidRDefault="001C5CA0" w:rsidP="002E41A8">
            <w:pPr>
              <w:pStyle w:val="ekvtabellelinks"/>
              <w:jc w:val="center"/>
            </w:pPr>
            <w:r>
              <w:sym w:font="Wingdings" w:char="F0DF"/>
            </w:r>
          </w:p>
        </w:tc>
        <w:tc>
          <w:tcPr>
            <w:tcW w:w="3119" w:type="dxa"/>
            <w:tcBorders>
              <w:top w:val="single" w:sz="8" w:space="0" w:color="333333"/>
              <w:left w:val="single" w:sz="4" w:space="0" w:color="333333"/>
              <w:bottom w:val="single" w:sz="4" w:space="0" w:color="333333"/>
            </w:tcBorders>
          </w:tcPr>
          <w:p w14:paraId="373EE452" w14:textId="23D972A2" w:rsidR="001C5CA0" w:rsidRDefault="001C5CA0" w:rsidP="001C5CA0">
            <w:pPr>
              <w:pStyle w:val="ekvtabellelinks"/>
              <w:ind w:left="284" w:hanging="227"/>
            </w:pPr>
            <w:r>
              <w:t>–</w:t>
            </w:r>
            <w:r>
              <w:tab/>
              <w:t>Aussicht auf höheren Lebensstandard</w:t>
            </w:r>
          </w:p>
          <w:p w14:paraId="02C9E8F2" w14:textId="77777777" w:rsidR="001C5CA0" w:rsidRDefault="001C5CA0" w:rsidP="001C5CA0">
            <w:pPr>
              <w:pStyle w:val="ekvtabellelinks"/>
              <w:ind w:left="284" w:hanging="227"/>
            </w:pPr>
          </w:p>
          <w:p w14:paraId="16FA4683" w14:textId="36EF5DFC" w:rsidR="001C5CA0" w:rsidRDefault="001C5CA0" w:rsidP="001C5CA0">
            <w:pPr>
              <w:pStyle w:val="ekvtabellelinks"/>
              <w:ind w:left="284" w:hanging="227"/>
            </w:pPr>
            <w:r>
              <w:t>–</w:t>
            </w:r>
            <w:r>
              <w:tab/>
              <w:t>Hoffnung auf Arbeitsplatz, besseren Verdienst, sozialen Aufstieg</w:t>
            </w:r>
          </w:p>
          <w:p w14:paraId="1A6FC4B8" w14:textId="77777777" w:rsidR="001C5CA0" w:rsidRDefault="001C5CA0" w:rsidP="001C5CA0">
            <w:pPr>
              <w:pStyle w:val="ekvtabellelinks"/>
              <w:ind w:left="284" w:hanging="227"/>
            </w:pPr>
          </w:p>
          <w:p w14:paraId="4CDA8901" w14:textId="77777777" w:rsidR="001C5CA0" w:rsidRDefault="001C5CA0" w:rsidP="001C5CA0">
            <w:pPr>
              <w:pStyle w:val="ekvtabellelinks"/>
              <w:ind w:left="284" w:hanging="227"/>
            </w:pPr>
          </w:p>
          <w:p w14:paraId="76C6D41C" w14:textId="387A82C6" w:rsidR="001C5CA0" w:rsidRDefault="001C5CA0" w:rsidP="001C5CA0">
            <w:pPr>
              <w:pStyle w:val="ekvtabellelinks"/>
              <w:ind w:left="284" w:hanging="227"/>
            </w:pPr>
            <w:r>
              <w:t>–</w:t>
            </w:r>
            <w:r>
              <w:tab/>
              <w:t>politische Stabilität, Frieden und Freiheit</w:t>
            </w:r>
          </w:p>
          <w:p w14:paraId="44C433D4" w14:textId="77777777" w:rsidR="001C5CA0" w:rsidRDefault="001C5CA0" w:rsidP="001C5CA0">
            <w:pPr>
              <w:pStyle w:val="ekvtabellelinks"/>
              <w:ind w:left="284" w:hanging="227"/>
            </w:pPr>
          </w:p>
          <w:p w14:paraId="36051705" w14:textId="0E853CC6" w:rsidR="001C5CA0" w:rsidRDefault="001C5CA0" w:rsidP="001C5CA0">
            <w:pPr>
              <w:pStyle w:val="ekvtabellelinks"/>
              <w:ind w:left="284" w:hanging="227"/>
            </w:pPr>
            <w:r>
              <w:t>–</w:t>
            </w:r>
            <w:r>
              <w:tab/>
              <w:t>tolerante Gesellschaft</w:t>
            </w:r>
          </w:p>
          <w:p w14:paraId="7C50EDD5" w14:textId="77777777" w:rsidR="001C5CA0" w:rsidRDefault="001C5CA0" w:rsidP="001C5CA0">
            <w:pPr>
              <w:pStyle w:val="ekvtabellelinks"/>
              <w:ind w:left="284" w:hanging="227"/>
            </w:pPr>
          </w:p>
          <w:p w14:paraId="04FAC875" w14:textId="499D3C4F" w:rsidR="002E41A8" w:rsidRPr="003C39DC" w:rsidRDefault="001C5CA0" w:rsidP="001C5CA0">
            <w:pPr>
              <w:pStyle w:val="ekvtabellelinks"/>
              <w:ind w:left="284" w:hanging="227"/>
            </w:pPr>
            <w:r>
              <w:t>–</w:t>
            </w:r>
            <w:r>
              <w:tab/>
              <w:t>Schutz gegen Umwelt-, Naturgefahren</w:t>
            </w:r>
          </w:p>
        </w:tc>
      </w:tr>
    </w:tbl>
    <w:p w14:paraId="6BAC6A48" w14:textId="50763521" w:rsidR="00DB4BA3" w:rsidRDefault="00DB4BA3" w:rsidP="00522BFB"/>
    <w:p w14:paraId="07511752" w14:textId="19F2A821" w:rsidR="00096A09" w:rsidRDefault="00096A09" w:rsidP="00096A09">
      <w:pPr>
        <w:pStyle w:val="ekvue3arial"/>
      </w:pPr>
      <w:r>
        <w:t>4.</w:t>
      </w:r>
      <w:r>
        <w:tab/>
        <w:t>Urteilskompetenz</w:t>
      </w:r>
    </w:p>
    <w:p w14:paraId="4CEDE5AE" w14:textId="472F6684" w:rsidR="000562C1" w:rsidRPr="000562C1" w:rsidRDefault="000562C1" w:rsidP="000562C1">
      <w:pPr>
        <w:pStyle w:val="ekvaufzhlung"/>
        <w:rPr>
          <w:rStyle w:val="ekvfett"/>
        </w:rPr>
      </w:pPr>
      <w:r w:rsidRPr="000562C1">
        <w:rPr>
          <w:rStyle w:val="ekvfett"/>
        </w:rPr>
        <w:t>c)</w:t>
      </w:r>
      <w:r w:rsidRPr="000562C1">
        <w:rPr>
          <w:rStyle w:val="ekvfett"/>
        </w:rPr>
        <w:tab/>
        <w:t>Ich kann die folgende Aussage beurteilen: „Eine gesteuerte Zuwanderung nach Deutschland kann dazu beitragen, die Probleme des demografischen Wandels zu lösen.“</w:t>
      </w:r>
      <w:r w:rsidR="00173505">
        <w:rPr>
          <w:rStyle w:val="ekvfett"/>
        </w:rPr>
        <w:t xml:space="preserve"> </w:t>
      </w:r>
      <w:r w:rsidR="00173505" w:rsidRPr="00173505">
        <w:rPr>
          <w:rStyle w:val="ekvfett"/>
        </w:rPr>
        <w:t>(S. 253)</w:t>
      </w:r>
    </w:p>
    <w:p w14:paraId="257F5046" w14:textId="77777777" w:rsidR="000562C1" w:rsidRDefault="000562C1" w:rsidP="000562C1"/>
    <w:p w14:paraId="09816EC8" w14:textId="4A2333E9" w:rsidR="000562C1" w:rsidRDefault="00173505" w:rsidP="000562C1">
      <w:pPr>
        <w:pStyle w:val="ekvaufzhlung"/>
      </w:pPr>
      <w:r>
        <w:rPr>
          <w:rStyle w:val="ekvnummerierung"/>
        </w:rPr>
        <w:t>1</w:t>
      </w:r>
      <w:r w:rsidR="000562C1">
        <w:tab/>
        <w:t xml:space="preserve">Beurteilen Sie die Aussage: „Eine gesteuerte Zuwanderung nach Deutschland kann dazu beitragen, </w:t>
      </w:r>
      <w:r w:rsidR="000562C1">
        <w:br/>
        <w:t>die Probleme des demografischen Wandels zu lösen.“</w:t>
      </w:r>
      <w:r w:rsidR="000562C1">
        <w:tab/>
      </w:r>
      <w:r w:rsidR="000562C1" w:rsidRPr="000562C1">
        <w:rPr>
          <w:rStyle w:val="ekvgrau"/>
        </w:rPr>
        <w:t>(10 VP.)</w:t>
      </w:r>
    </w:p>
    <w:p w14:paraId="1C76A67F" w14:textId="6D5CECD5" w:rsidR="000562C1" w:rsidRDefault="000562C1" w:rsidP="003958B3">
      <w:pPr>
        <w:pStyle w:val="ekvgrundtexthalbe"/>
      </w:pPr>
    </w:p>
    <w:p w14:paraId="7B1683A4" w14:textId="73E5A7AC" w:rsidR="003958B3" w:rsidRPr="003958B3" w:rsidRDefault="003958B3" w:rsidP="003958B3">
      <w:pPr>
        <w:rPr>
          <w:rStyle w:val="ekvlsung"/>
        </w:rPr>
      </w:pPr>
      <w:r w:rsidRPr="003958B3">
        <w:rPr>
          <w:rStyle w:val="ekvlsung"/>
        </w:rPr>
        <w:t>Zu der vorgegebenen Problemstellung ist durch Abwägen von Für- und Widerargumenten ein begründetes Urteil zu fällen. Dabei lassen sich u.</w:t>
      </w:r>
      <w:r w:rsidRPr="003958B3">
        <w:rPr>
          <w:rStyle w:val="ekvlsung"/>
          <w:w w:val="50"/>
        </w:rPr>
        <w:t> </w:t>
      </w:r>
      <w:r w:rsidRPr="003958B3">
        <w:rPr>
          <w:rStyle w:val="ekvlsung"/>
        </w:rPr>
        <w:t xml:space="preserve">a. folgende Aspekte gegenüberstellen: </w:t>
      </w:r>
    </w:p>
    <w:p w14:paraId="29C523F7" w14:textId="77777777" w:rsidR="003958B3" w:rsidRPr="003958B3" w:rsidRDefault="003958B3" w:rsidP="003958B3">
      <w:pPr>
        <w:pStyle w:val="ekvgrundtexthalbe"/>
        <w:rPr>
          <w:rStyle w:val="ekvlsung"/>
        </w:rPr>
      </w:pPr>
    </w:p>
    <w:p w14:paraId="49CEEC3E" w14:textId="4C5E67B9" w:rsidR="000562C1" w:rsidRDefault="003958B3" w:rsidP="003958B3">
      <w:pPr>
        <w:rPr>
          <w:rStyle w:val="ekvlsung"/>
        </w:rPr>
      </w:pPr>
      <w:r w:rsidRPr="003958B3">
        <w:rPr>
          <w:rStyle w:val="ekvlsung"/>
        </w:rPr>
        <w:t>Lösung der demografischen Probleme Deutschlands durch Zuwanderung?</w:t>
      </w:r>
    </w:p>
    <w:p w14:paraId="5CBDEFF5" w14:textId="7DAB7C57" w:rsidR="003958B3" w:rsidRDefault="003958B3" w:rsidP="003958B3">
      <w:pPr>
        <w:pStyle w:val="ekvgrundtexthalbe"/>
        <w:rPr>
          <w:rStyle w:val="ekvlsung"/>
        </w:rPr>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3958B3" w:rsidRPr="003958B3" w14:paraId="3B263D98" w14:textId="77777777" w:rsidTr="00811B65">
        <w:trPr>
          <w:trHeight w:val="284"/>
        </w:trPr>
        <w:tc>
          <w:tcPr>
            <w:tcW w:w="4560" w:type="dxa"/>
            <w:tcBorders>
              <w:bottom w:val="single" w:sz="8" w:space="0" w:color="333333"/>
              <w:right w:val="single" w:sz="4" w:space="0" w:color="333333"/>
            </w:tcBorders>
            <w:shd w:val="clear" w:color="auto" w:fill="FFFFFF" w:themeFill="background1"/>
          </w:tcPr>
          <w:p w14:paraId="1C35ABCB" w14:textId="578E21EB" w:rsidR="003958B3" w:rsidRPr="003958B3" w:rsidRDefault="003958B3" w:rsidP="00AC4074">
            <w:pPr>
              <w:pStyle w:val="ekvtabelle"/>
              <w:rPr>
                <w:rStyle w:val="ekvlsung"/>
                <w:sz w:val="19"/>
                <w:szCs w:val="19"/>
              </w:rPr>
            </w:pPr>
            <w:r w:rsidRPr="003958B3">
              <w:rPr>
                <w:rStyle w:val="ekvlsung"/>
                <w:sz w:val="19"/>
                <w:szCs w:val="19"/>
              </w:rPr>
              <w:t>eher Zustimmung zu der Aussage (3 VP)</w:t>
            </w:r>
          </w:p>
        </w:tc>
        <w:tc>
          <w:tcPr>
            <w:tcW w:w="4796" w:type="dxa"/>
            <w:tcBorders>
              <w:left w:val="single" w:sz="4" w:space="0" w:color="333333"/>
              <w:bottom w:val="single" w:sz="8" w:space="0" w:color="333333"/>
            </w:tcBorders>
            <w:shd w:val="clear" w:color="auto" w:fill="FFFFFF" w:themeFill="background1"/>
          </w:tcPr>
          <w:p w14:paraId="520C40FE" w14:textId="7454BB5F" w:rsidR="003958B3" w:rsidRPr="003958B3" w:rsidRDefault="003958B3" w:rsidP="003958B3">
            <w:pPr>
              <w:pStyle w:val="ekvtabellelinks"/>
              <w:rPr>
                <w:rStyle w:val="ekvlsung"/>
                <w:sz w:val="19"/>
                <w:szCs w:val="19"/>
              </w:rPr>
            </w:pPr>
            <w:r w:rsidRPr="003958B3">
              <w:rPr>
                <w:rStyle w:val="ekvlsung"/>
                <w:sz w:val="19"/>
                <w:szCs w:val="19"/>
              </w:rPr>
              <w:t>eher Ablehnung der Aussage (3 VP)</w:t>
            </w:r>
          </w:p>
        </w:tc>
      </w:tr>
      <w:tr w:rsidR="003958B3" w:rsidRPr="003958B3" w14:paraId="72E8DD3C" w14:textId="77777777" w:rsidTr="00811B65">
        <w:trPr>
          <w:trHeight w:val="284"/>
        </w:trPr>
        <w:tc>
          <w:tcPr>
            <w:tcW w:w="4560" w:type="dxa"/>
            <w:tcBorders>
              <w:top w:val="single" w:sz="4" w:space="0" w:color="333333"/>
              <w:right w:val="single" w:sz="4" w:space="0" w:color="333333"/>
            </w:tcBorders>
          </w:tcPr>
          <w:p w14:paraId="40A1C03E" w14:textId="3CC5943F" w:rsidR="003958B3" w:rsidRPr="003958B3" w:rsidRDefault="003958B3" w:rsidP="003958B3">
            <w:pPr>
              <w:pStyle w:val="ekvtabelle"/>
              <w:ind w:left="227" w:hanging="227"/>
              <w:rPr>
                <w:rStyle w:val="ekvlsung"/>
                <w:sz w:val="19"/>
                <w:szCs w:val="19"/>
              </w:rPr>
            </w:pPr>
            <w:r w:rsidRPr="003958B3">
              <w:rPr>
                <w:rStyle w:val="ekvlsung"/>
                <w:sz w:val="19"/>
                <w:szCs w:val="19"/>
              </w:rPr>
              <w:t>-</w:t>
            </w:r>
            <w:r w:rsidRPr="003958B3">
              <w:rPr>
                <w:rStyle w:val="ekvlsung"/>
                <w:sz w:val="19"/>
                <w:szCs w:val="19"/>
              </w:rPr>
              <w:tab/>
              <w:t>jede Zuwanderung, die mit Beschäftigung und Erwerbstätigkeit verbunden ist, bewirkt einen Anstieg des Volkseinkommens (Erhöhung von Produktion und Nachfrage)</w:t>
            </w:r>
          </w:p>
          <w:p w14:paraId="1858D395" w14:textId="5EA58198" w:rsidR="003958B3" w:rsidRPr="003958B3" w:rsidRDefault="003958B3" w:rsidP="003958B3">
            <w:pPr>
              <w:pStyle w:val="ekvtabelle"/>
              <w:ind w:left="227" w:hanging="227"/>
              <w:rPr>
                <w:rStyle w:val="ekvlsung"/>
                <w:sz w:val="19"/>
                <w:szCs w:val="19"/>
              </w:rPr>
            </w:pPr>
            <w:r w:rsidRPr="003958B3">
              <w:rPr>
                <w:rStyle w:val="ekvlsung"/>
                <w:sz w:val="19"/>
                <w:szCs w:val="19"/>
              </w:rPr>
              <w:t>-</w:t>
            </w:r>
            <w:r w:rsidRPr="003958B3">
              <w:rPr>
                <w:rStyle w:val="ekvlsung"/>
                <w:sz w:val="19"/>
                <w:szCs w:val="19"/>
              </w:rPr>
              <w:tab/>
              <w:t>aus betriebswirtschaftlicher Sicht (der Unter</w:t>
            </w:r>
            <w:r>
              <w:rPr>
                <w:rStyle w:val="ekvlsung"/>
                <w:sz w:val="19"/>
                <w:szCs w:val="19"/>
              </w:rPr>
              <w:softHyphen/>
            </w:r>
            <w:r w:rsidRPr="003958B3">
              <w:rPr>
                <w:rStyle w:val="ekvlsung"/>
                <w:sz w:val="19"/>
                <w:szCs w:val="19"/>
              </w:rPr>
              <w:t xml:space="preserve">nehmen) ist hohe Zuwande-rung vorteilhaft, </w:t>
            </w:r>
            <w:r>
              <w:rPr>
                <w:rStyle w:val="ekvlsung"/>
                <w:sz w:val="19"/>
                <w:szCs w:val="19"/>
              </w:rPr>
              <w:br/>
            </w:r>
            <w:r w:rsidRPr="003958B3">
              <w:rPr>
                <w:rStyle w:val="ekvlsung"/>
                <w:sz w:val="19"/>
                <w:szCs w:val="19"/>
              </w:rPr>
              <w:t>weil auf ein großes Arbeitskräftepotenzial zurückgegriffen werden kann</w:t>
            </w:r>
          </w:p>
          <w:p w14:paraId="0AE91751" w14:textId="0E697AC4" w:rsidR="003958B3" w:rsidRPr="003958B3" w:rsidRDefault="003958B3" w:rsidP="003958B3">
            <w:pPr>
              <w:pStyle w:val="ekvtabelle"/>
              <w:ind w:left="227" w:hanging="227"/>
              <w:rPr>
                <w:rStyle w:val="ekvlsung"/>
                <w:sz w:val="19"/>
                <w:szCs w:val="19"/>
              </w:rPr>
            </w:pPr>
            <w:r w:rsidRPr="003958B3">
              <w:rPr>
                <w:rStyle w:val="ekvlsung"/>
                <w:sz w:val="19"/>
                <w:szCs w:val="19"/>
              </w:rPr>
              <w:t>-</w:t>
            </w:r>
            <w:r w:rsidRPr="003958B3">
              <w:rPr>
                <w:rStyle w:val="ekvlsung"/>
                <w:sz w:val="19"/>
                <w:szCs w:val="19"/>
              </w:rPr>
              <w:tab/>
              <w:t>Zuwanderung von qualifizierten Kräften kann beitragen, die entstehende Lücke im Arbeitskräfteangebot zu schließen</w:t>
            </w:r>
          </w:p>
        </w:tc>
        <w:tc>
          <w:tcPr>
            <w:tcW w:w="4796" w:type="dxa"/>
            <w:tcBorders>
              <w:top w:val="single" w:sz="4" w:space="0" w:color="333333"/>
              <w:left w:val="single" w:sz="4" w:space="0" w:color="333333"/>
            </w:tcBorders>
          </w:tcPr>
          <w:p w14:paraId="570A6300" w14:textId="6CD06676" w:rsidR="003958B3" w:rsidRPr="003958B3" w:rsidRDefault="003958B3" w:rsidP="003958B3">
            <w:pPr>
              <w:pStyle w:val="ekvtabellelinks"/>
              <w:ind w:left="284" w:hanging="227"/>
              <w:rPr>
                <w:rStyle w:val="ekvlsung"/>
                <w:sz w:val="19"/>
                <w:szCs w:val="19"/>
              </w:rPr>
            </w:pPr>
            <w:r w:rsidRPr="003958B3">
              <w:rPr>
                <w:rStyle w:val="ekvlsung"/>
                <w:sz w:val="19"/>
                <w:szCs w:val="19"/>
              </w:rPr>
              <w:t>-</w:t>
            </w:r>
            <w:r w:rsidRPr="003958B3">
              <w:rPr>
                <w:rStyle w:val="ekvlsung"/>
                <w:sz w:val="19"/>
                <w:szCs w:val="19"/>
              </w:rPr>
              <w:tab/>
              <w:t>fehlen Qualifikation und Arbeitsplätze, muss schließlich die Gesamtgesellschaft die Kosten der Arbeitslosigkeit von Zuwanderern tragen</w:t>
            </w:r>
          </w:p>
          <w:p w14:paraId="4484D616" w14:textId="77777777" w:rsidR="003958B3" w:rsidRPr="003958B3" w:rsidRDefault="003958B3" w:rsidP="003958B3">
            <w:pPr>
              <w:pStyle w:val="ekvtabellelinks"/>
              <w:ind w:left="284" w:hanging="227"/>
              <w:rPr>
                <w:rStyle w:val="ekvlsung"/>
                <w:sz w:val="19"/>
                <w:szCs w:val="19"/>
              </w:rPr>
            </w:pPr>
            <w:r w:rsidRPr="003958B3">
              <w:rPr>
                <w:rStyle w:val="ekvlsung"/>
                <w:sz w:val="19"/>
                <w:szCs w:val="19"/>
              </w:rPr>
              <w:t>-</w:t>
            </w:r>
            <w:r w:rsidRPr="003958B3">
              <w:rPr>
                <w:rStyle w:val="ekvlsung"/>
                <w:sz w:val="19"/>
                <w:szCs w:val="19"/>
              </w:rPr>
              <w:tab/>
              <w:t>ein steigendes Arbeitskräftepotenzial birgt die Gefahr des Lohndumping</w:t>
            </w:r>
          </w:p>
          <w:p w14:paraId="3715D0BA" w14:textId="11F7A10D" w:rsidR="003958B3" w:rsidRPr="003958B3" w:rsidRDefault="003958B3" w:rsidP="003958B3">
            <w:pPr>
              <w:pStyle w:val="ekvtabellelinks"/>
              <w:ind w:left="284" w:hanging="227"/>
              <w:rPr>
                <w:rStyle w:val="ekvlsung"/>
                <w:sz w:val="19"/>
                <w:szCs w:val="19"/>
              </w:rPr>
            </w:pPr>
            <w:r w:rsidRPr="003958B3">
              <w:rPr>
                <w:rStyle w:val="ekvlsung"/>
                <w:sz w:val="19"/>
                <w:szCs w:val="19"/>
              </w:rPr>
              <w:t>-</w:t>
            </w:r>
            <w:r w:rsidRPr="003958B3">
              <w:rPr>
                <w:rStyle w:val="ekvlsung"/>
                <w:sz w:val="19"/>
                <w:szCs w:val="19"/>
              </w:rPr>
              <w:tab/>
              <w:t>bei einem Übermaß an Zuwanderungen entstehen massive Integrationsprobleme</w:t>
            </w:r>
          </w:p>
          <w:p w14:paraId="2B303187" w14:textId="4112A825" w:rsidR="003958B3" w:rsidRPr="003958B3" w:rsidRDefault="003958B3" w:rsidP="003958B3">
            <w:pPr>
              <w:pStyle w:val="ekvtabellelinks"/>
              <w:ind w:left="284" w:hanging="227"/>
              <w:rPr>
                <w:rStyle w:val="ekvlsung"/>
                <w:sz w:val="19"/>
                <w:szCs w:val="19"/>
              </w:rPr>
            </w:pPr>
            <w:r w:rsidRPr="003958B3">
              <w:rPr>
                <w:rStyle w:val="ekvlsung"/>
                <w:sz w:val="19"/>
                <w:szCs w:val="19"/>
              </w:rPr>
              <w:t>-</w:t>
            </w:r>
            <w:r w:rsidRPr="003958B3">
              <w:rPr>
                <w:rStyle w:val="ekvlsung"/>
                <w:sz w:val="19"/>
                <w:szCs w:val="19"/>
              </w:rPr>
              <w:tab/>
              <w:t>es entstehen auch Raum- und Infrastruktur</w:t>
            </w:r>
            <w:r>
              <w:rPr>
                <w:rStyle w:val="ekvlsung"/>
                <w:sz w:val="19"/>
                <w:szCs w:val="19"/>
              </w:rPr>
              <w:softHyphen/>
            </w:r>
            <w:r w:rsidRPr="003958B3">
              <w:rPr>
                <w:rStyle w:val="ekvlsung"/>
                <w:sz w:val="19"/>
                <w:szCs w:val="19"/>
              </w:rPr>
              <w:t>probleme (Bereitstellung von z.</w:t>
            </w:r>
            <w:r w:rsidRPr="003958B3">
              <w:rPr>
                <w:rStyle w:val="ekvlsung"/>
                <w:w w:val="50"/>
              </w:rPr>
              <w:t> </w:t>
            </w:r>
            <w:r w:rsidRPr="003958B3">
              <w:rPr>
                <w:rStyle w:val="ekvlsung"/>
                <w:sz w:val="19"/>
                <w:szCs w:val="19"/>
              </w:rPr>
              <w:t>B. Wohnungen, Bildungs-, Verkehrs-, Ver- und Entsorgungs</w:t>
            </w:r>
            <w:r>
              <w:rPr>
                <w:rStyle w:val="ekvlsung"/>
                <w:sz w:val="19"/>
                <w:szCs w:val="19"/>
              </w:rPr>
              <w:softHyphen/>
            </w:r>
            <w:r w:rsidRPr="003958B3">
              <w:rPr>
                <w:rStyle w:val="ekvlsung"/>
                <w:sz w:val="19"/>
                <w:szCs w:val="19"/>
              </w:rPr>
              <w:t>systemen)</w:t>
            </w:r>
          </w:p>
        </w:tc>
      </w:tr>
    </w:tbl>
    <w:p w14:paraId="36CE1CDA" w14:textId="4BE04224" w:rsidR="003958B3" w:rsidRDefault="003958B3" w:rsidP="003958B3">
      <w:pPr>
        <w:pStyle w:val="ekvgrundtexthalbe"/>
        <w:rPr>
          <w:rStyle w:val="ekvlsung"/>
        </w:rPr>
      </w:pPr>
    </w:p>
    <w:p w14:paraId="75562B6D" w14:textId="1735A40D" w:rsidR="003958B3" w:rsidRPr="003958B3" w:rsidRDefault="003958B3" w:rsidP="003958B3">
      <w:pPr>
        <w:rPr>
          <w:rStyle w:val="ekvlsung"/>
        </w:rPr>
      </w:pPr>
      <w:r w:rsidRPr="003958B3">
        <w:rPr>
          <w:rStyle w:val="ekvlsung"/>
        </w:rPr>
        <w:t>Mögliches Urteil: Zuwanderung könnte zur Problemlösung beitragen, wenn die entsprechend qualifizierten Migranten auch einen Arbeitsplatz finden. Das aber ginge zu Lasten der Herkunftsländer, die die Kosten der Erziehung und ersten Ausbildung getragen hätten, dann aber ihre besten, dynamischsten Arbeitskräfte verlieren. (4 VP)</w:t>
      </w:r>
    </w:p>
    <w:p w14:paraId="675433FC" w14:textId="7FE34C1A" w:rsidR="003958B3" w:rsidRDefault="003958B3">
      <w:pPr>
        <w:tabs>
          <w:tab w:val="clear" w:pos="340"/>
          <w:tab w:val="clear" w:pos="595"/>
          <w:tab w:val="clear" w:pos="851"/>
        </w:tabs>
        <w:spacing w:after="160" w:line="259" w:lineRule="auto"/>
      </w:pPr>
      <w:r>
        <w:br w:type="page"/>
      </w:r>
    </w:p>
    <w:p w14:paraId="1CAAF7AD" w14:textId="72FA5815" w:rsidR="000562C1" w:rsidRPr="000562C1" w:rsidRDefault="000562C1" w:rsidP="000562C1">
      <w:pPr>
        <w:pStyle w:val="ekvaufzhlung"/>
        <w:rPr>
          <w:rStyle w:val="ekvfett"/>
        </w:rPr>
      </w:pPr>
      <w:r w:rsidRPr="000562C1">
        <w:rPr>
          <w:rStyle w:val="ekvfett"/>
        </w:rPr>
        <w:lastRenderedPageBreak/>
        <w:t>d)</w:t>
      </w:r>
      <w:r w:rsidRPr="000562C1">
        <w:rPr>
          <w:rStyle w:val="ekvfett"/>
        </w:rPr>
        <w:tab/>
        <w:t>Ich kann bewerten, inwieweit Arbeitsmigration eine nachhaltige Entwicklung in den Herkunftsländern der Migranten fördert oder gefährdet.</w:t>
      </w:r>
      <w:r w:rsidR="00173505">
        <w:rPr>
          <w:rStyle w:val="ekvfett"/>
        </w:rPr>
        <w:t xml:space="preserve"> </w:t>
      </w:r>
      <w:r w:rsidR="00173505" w:rsidRPr="00173505">
        <w:rPr>
          <w:rStyle w:val="ekvfett"/>
        </w:rPr>
        <w:t>(S. 256</w:t>
      </w:r>
      <w:r w:rsidR="00173505">
        <w:rPr>
          <w:rStyle w:val="ekvfett"/>
        </w:rPr>
        <w:t>–</w:t>
      </w:r>
      <w:r w:rsidR="00173505" w:rsidRPr="00173505">
        <w:rPr>
          <w:rStyle w:val="ekvfett"/>
        </w:rPr>
        <w:t>259)</w:t>
      </w:r>
    </w:p>
    <w:p w14:paraId="371C54F7" w14:textId="77777777" w:rsidR="000562C1" w:rsidRDefault="000562C1" w:rsidP="000562C1"/>
    <w:p w14:paraId="3ED9D143" w14:textId="13A84D3D" w:rsidR="000562C1" w:rsidRDefault="00173505" w:rsidP="000562C1">
      <w:pPr>
        <w:pStyle w:val="ekvaufzhlung"/>
      </w:pPr>
      <w:r>
        <w:rPr>
          <w:rStyle w:val="ekvnummerierung"/>
        </w:rPr>
        <w:t>2</w:t>
      </w:r>
      <w:r w:rsidR="000562C1">
        <w:tab/>
        <w:t>Bewerten Sie die Wirkungen der Arbeitsmigration im Hinblick auf  ein nachhaltige Entwicklung in den Herkunftsländern der Migranten.</w:t>
      </w:r>
      <w:r w:rsidR="000C3822">
        <w:tab/>
      </w:r>
      <w:r w:rsidR="000C3822" w:rsidRPr="000C3822">
        <w:rPr>
          <w:rStyle w:val="ekvgrau"/>
        </w:rPr>
        <w:t>(14 VP.)</w:t>
      </w:r>
    </w:p>
    <w:p w14:paraId="377D9410" w14:textId="00A744D8" w:rsidR="00FD46F7" w:rsidRDefault="00FD46F7" w:rsidP="00243CDA">
      <w:pPr>
        <w:pStyle w:val="ekvgrundtexthalbe"/>
      </w:pPr>
    </w:p>
    <w:p w14:paraId="2D44A389" w14:textId="77777777" w:rsidR="00243CDA" w:rsidRPr="00243CDA" w:rsidRDefault="00243CDA" w:rsidP="00243CDA">
      <w:pPr>
        <w:rPr>
          <w:rStyle w:val="ekvlsung"/>
        </w:rPr>
      </w:pPr>
      <w:r w:rsidRPr="00243CDA">
        <w:rPr>
          <w:rStyle w:val="ekvlsung"/>
        </w:rPr>
        <w:t>Gemessen an den wirtschaftlichen Effekten für die Familien und für die Staaten der „Gastarbeiter“ im Ausland sind die Wirkungen durchaus positiv zu beurteilen:</w:t>
      </w:r>
    </w:p>
    <w:p w14:paraId="3D42832E" w14:textId="018685CA" w:rsidR="00243CDA" w:rsidRPr="00243CDA" w:rsidRDefault="00243CDA" w:rsidP="00243CDA">
      <w:pPr>
        <w:pStyle w:val="ekvaufzhlung"/>
        <w:rPr>
          <w:rStyle w:val="ekvlsung"/>
        </w:rPr>
      </w:pPr>
      <w:r w:rsidRPr="00243CDA">
        <w:rPr>
          <w:rStyle w:val="ekvlsung"/>
        </w:rPr>
        <w:t>-</w:t>
      </w:r>
      <w:r w:rsidRPr="00243CDA">
        <w:rPr>
          <w:rStyle w:val="ekvlsung"/>
        </w:rPr>
        <w:tab/>
        <w:t xml:space="preserve">die daheim gebliebene (Groß)Familie erhält überlebenswichtige Gelder für die Bewältigung des Alltags oder von Naturkatastrophen; die Überweisungen „lindern … die Armut in den Heimatländern, sagen Experten“; </w:t>
      </w:r>
    </w:p>
    <w:p w14:paraId="3BAF4F55" w14:textId="1A719731" w:rsidR="00243CDA" w:rsidRPr="00243CDA" w:rsidRDefault="00243CDA" w:rsidP="00243CDA">
      <w:pPr>
        <w:pStyle w:val="ekvaufzhlung"/>
        <w:rPr>
          <w:rStyle w:val="ekvlsung"/>
        </w:rPr>
      </w:pPr>
      <w:r w:rsidRPr="00243CDA">
        <w:rPr>
          <w:rStyle w:val="ekvlsung"/>
        </w:rPr>
        <w:t>-</w:t>
      </w:r>
      <w:r w:rsidRPr="00243CDA">
        <w:rPr>
          <w:rStyle w:val="ekvlsung"/>
        </w:rPr>
        <w:tab/>
        <w:t>die privaten Geldsendungen sind effektiver als große Entwicklungshilfeprojekte, bei denen der bürokratische Aufwand viel Geld verschlingt; die Finanzmittel erreichen zudem direkt die Familien, sie sind dem Zugriff korrupter Regierungsbeamter entzogen</w:t>
      </w:r>
    </w:p>
    <w:p w14:paraId="4F833EA1" w14:textId="32C77DBF" w:rsidR="00243CDA" w:rsidRPr="00243CDA" w:rsidRDefault="00243CDA" w:rsidP="00243CDA">
      <w:pPr>
        <w:pStyle w:val="ekvaufzhlung"/>
        <w:rPr>
          <w:rStyle w:val="ekvlsung"/>
        </w:rPr>
      </w:pPr>
      <w:r w:rsidRPr="00243CDA">
        <w:rPr>
          <w:rStyle w:val="ekvlsung"/>
        </w:rPr>
        <w:t>-</w:t>
      </w:r>
      <w:r w:rsidRPr="00243CDA">
        <w:rPr>
          <w:rStyle w:val="ekvlsung"/>
        </w:rPr>
        <w:tab/>
        <w:t>die Familien sind nun in der Lage, Land oder Produktionsmittel zu erwerben, Häuser zu bauen, Kinder in die Schule oder zur Ausbildung zu schicken, sich eine ärztliche Versorgung zu leisten;</w:t>
      </w:r>
    </w:p>
    <w:p w14:paraId="79067CA7" w14:textId="77777777" w:rsidR="00243CDA" w:rsidRPr="00243CDA" w:rsidRDefault="00243CDA" w:rsidP="00243CDA">
      <w:pPr>
        <w:pStyle w:val="ekvaufzhlung"/>
        <w:rPr>
          <w:rStyle w:val="ekvlsung"/>
        </w:rPr>
      </w:pPr>
      <w:r w:rsidRPr="00243CDA">
        <w:rPr>
          <w:rStyle w:val="ekvlsung"/>
        </w:rPr>
        <w:t>-</w:t>
      </w:r>
      <w:r w:rsidRPr="00243CDA">
        <w:rPr>
          <w:rStyle w:val="ekvlsung"/>
        </w:rPr>
        <w:tab/>
        <w:t xml:space="preserve">für die jeweiligen Saaten stellen die Remittances ein wichtige Devisenquelle dar, die ihre Zahlungsbilanz verbessert; </w:t>
      </w:r>
    </w:p>
    <w:p w14:paraId="08E90E87" w14:textId="0A304ADF" w:rsidR="00243CDA" w:rsidRPr="00243CDA" w:rsidRDefault="00243CDA" w:rsidP="00243CDA">
      <w:pPr>
        <w:pStyle w:val="ekvaufzhlung"/>
        <w:rPr>
          <w:rStyle w:val="ekvlsung"/>
        </w:rPr>
      </w:pPr>
      <w:r w:rsidRPr="00243CDA">
        <w:rPr>
          <w:rStyle w:val="ekvlsung"/>
        </w:rPr>
        <w:t>-</w:t>
      </w:r>
      <w:r w:rsidRPr="00243CDA">
        <w:rPr>
          <w:rStyle w:val="ekvlsung"/>
        </w:rPr>
        <w:tab/>
        <w:t>damit bieten sich für diese Staaten nicht nur neue Möglichkeiten für Investitionen, sondern auch für den Import dringend benötigter Nahrungsmittel, Grundstoffe oder Maschinen;</w:t>
      </w:r>
    </w:p>
    <w:p w14:paraId="6FDF0E42" w14:textId="77777777" w:rsidR="00243CDA" w:rsidRPr="00243CDA" w:rsidRDefault="00243CDA" w:rsidP="00243CDA">
      <w:pPr>
        <w:pStyle w:val="ekvaufzhlung"/>
        <w:rPr>
          <w:rStyle w:val="ekvlsung"/>
        </w:rPr>
      </w:pPr>
      <w:r w:rsidRPr="00243CDA">
        <w:rPr>
          <w:rStyle w:val="ekvlsung"/>
        </w:rPr>
        <w:t>-</w:t>
      </w:r>
      <w:r w:rsidRPr="00243CDA">
        <w:rPr>
          <w:rStyle w:val="ekvlsung"/>
        </w:rPr>
        <w:tab/>
        <w:t>die (temporäre) Abwanderung überschüssiger Arbeitskräfte entlastet zudem den eigenen Arbeitsmarkt und auch die – wen auch erst in Ansätzen ausgebildeten – Sozialsysteme</w:t>
      </w:r>
    </w:p>
    <w:p w14:paraId="5B32E32D" w14:textId="77777777" w:rsidR="00243CDA" w:rsidRPr="00243CDA" w:rsidRDefault="00243CDA" w:rsidP="00243CDA">
      <w:pPr>
        <w:rPr>
          <w:rStyle w:val="ekvlsung"/>
        </w:rPr>
      </w:pPr>
    </w:p>
    <w:p w14:paraId="4A421016" w14:textId="77777777" w:rsidR="00243CDA" w:rsidRPr="00243CDA" w:rsidRDefault="00243CDA" w:rsidP="00243CDA">
      <w:pPr>
        <w:rPr>
          <w:rStyle w:val="ekvlsung"/>
        </w:rPr>
      </w:pPr>
      <w:r w:rsidRPr="00243CDA">
        <w:rPr>
          <w:rStyle w:val="ekvlsung"/>
        </w:rPr>
        <w:t>Unter dem Gesichtspunkt der Nachhaltigkeit ist aber auch auf mögliche negative Nebeneffekte hinzuweisen:</w:t>
      </w:r>
    </w:p>
    <w:p w14:paraId="636FF48E" w14:textId="77777777" w:rsidR="00243CDA" w:rsidRPr="00243CDA" w:rsidRDefault="00243CDA" w:rsidP="00243CDA">
      <w:pPr>
        <w:pStyle w:val="ekvaufzhlung"/>
        <w:rPr>
          <w:rStyle w:val="ekvlsung"/>
        </w:rPr>
      </w:pPr>
      <w:r w:rsidRPr="00243CDA">
        <w:rPr>
          <w:rStyle w:val="ekvlsung"/>
        </w:rPr>
        <w:t>-</w:t>
      </w:r>
      <w:r w:rsidRPr="00243CDA">
        <w:rPr>
          <w:rStyle w:val="ekvlsung"/>
        </w:rPr>
        <w:tab/>
        <w:t>der „braindrain“ an Gutausgebildeten entzieht dem Heimatland dringend benötigte Fachkräfte für die Entwicklung der eigenen Volkswirtschaft; sie fehlen auch als Familienhäupter, was den Zusammenhalt von Familien gefährdet</w:t>
      </w:r>
    </w:p>
    <w:p w14:paraId="5905E040" w14:textId="2F7A81AD" w:rsidR="00243CDA" w:rsidRPr="00243CDA" w:rsidRDefault="00243CDA" w:rsidP="00243CDA">
      <w:pPr>
        <w:pStyle w:val="ekvaufzhlung"/>
        <w:rPr>
          <w:rStyle w:val="ekvlsung"/>
        </w:rPr>
      </w:pPr>
      <w:r w:rsidRPr="00243CDA">
        <w:rPr>
          <w:rStyle w:val="ekvlsung"/>
        </w:rPr>
        <w:t>-</w:t>
      </w:r>
      <w:r w:rsidRPr="00243CDA">
        <w:rPr>
          <w:rStyle w:val="ekvlsung"/>
        </w:rPr>
        <w:tab/>
        <w:t>die Remittances gefährden die Geldwertstabilität im Heimatland; unter den steigenden Preisen leiden vor allem diejenigen ohne Geldzufluss aus dem Ausland; das verstärkt die sozialen Ungleichheiten in der Gesellschaft, vor allem im ländlichen Raum</w:t>
      </w:r>
    </w:p>
    <w:p w14:paraId="5178C9F8" w14:textId="74674205" w:rsidR="00243CDA" w:rsidRPr="00243CDA" w:rsidRDefault="00243CDA" w:rsidP="00243CDA">
      <w:pPr>
        <w:pStyle w:val="ekvaufzhlung"/>
        <w:rPr>
          <w:rStyle w:val="ekvlsung"/>
        </w:rPr>
      </w:pPr>
      <w:r w:rsidRPr="00243CDA">
        <w:rPr>
          <w:rStyle w:val="ekvlsung"/>
        </w:rPr>
        <w:t>-</w:t>
      </w:r>
      <w:r w:rsidRPr="00243CDA">
        <w:rPr>
          <w:rStyle w:val="ekvlsung"/>
        </w:rPr>
        <w:tab/>
        <w:t>die Überweisungen an die Familien in der Heimat machen diese abhängig von der Hilfe von außen und könnten die Eigeninitiative schwächen; auch besteht die Gefahr, dass die Remittances genutzt werden, um importierte (Luxus)Waren oder Markenartikel zu kaufen, sodass sich keine Nachfrage und damit auch keine Produktionsimpulse im Inland ergeben; einschlägige Untersuchungen zeigen allerdings, dass nicht nur demonstrative Konsumgüter gekauft werden, sonder dass die Gelder auch in Bildung und Gesundheit investiert werden;</w:t>
      </w:r>
    </w:p>
    <w:p w14:paraId="21E91D51" w14:textId="014659F7" w:rsidR="00243CDA" w:rsidRPr="00243CDA" w:rsidRDefault="00243CDA" w:rsidP="00243CDA">
      <w:pPr>
        <w:pStyle w:val="ekvaufzhlung"/>
        <w:rPr>
          <w:rStyle w:val="ekvlsung"/>
        </w:rPr>
      </w:pPr>
      <w:r w:rsidRPr="00243CDA">
        <w:rPr>
          <w:rStyle w:val="ekvlsung"/>
        </w:rPr>
        <w:t>-</w:t>
      </w:r>
      <w:r w:rsidRPr="00243CDA">
        <w:rPr>
          <w:rStyle w:val="ekvlsung"/>
        </w:rPr>
        <w:tab/>
        <w:t>die Arbeitsmigration ist anfällig gegenüber Krisen der Weltkonjunktur, d.</w:t>
      </w:r>
      <w:r w:rsidRPr="00243CDA">
        <w:rPr>
          <w:rStyle w:val="ekvlsung"/>
          <w:w w:val="50"/>
        </w:rPr>
        <w:t> </w:t>
      </w:r>
      <w:r w:rsidRPr="00243CDA">
        <w:rPr>
          <w:rStyle w:val="ekvlsung"/>
        </w:rPr>
        <w:t>h. bei weltweitem Nachfrage- und Produktionsrückgang sind die „Gastarbeiter“, wie sie z.</w:t>
      </w:r>
      <w:r w:rsidRPr="00243CDA">
        <w:rPr>
          <w:rStyle w:val="ekvlsung"/>
          <w:w w:val="50"/>
        </w:rPr>
        <w:t> </w:t>
      </w:r>
      <w:r w:rsidRPr="00243CDA">
        <w:rPr>
          <w:rStyle w:val="ekvlsung"/>
        </w:rPr>
        <w:t>B. heute am Arabisch-Persischen Golf genannt werden, die ersten, die ihren Arbeitsplatz verlieren und nach Haus geschickt werden</w:t>
      </w:r>
    </w:p>
    <w:p w14:paraId="2C08CDBD" w14:textId="02644A18" w:rsidR="00243CDA" w:rsidRPr="00243CDA" w:rsidRDefault="00243CDA" w:rsidP="00243CDA">
      <w:pPr>
        <w:pStyle w:val="ekvaufzhlung"/>
        <w:rPr>
          <w:rStyle w:val="ekvlsung"/>
        </w:rPr>
      </w:pPr>
      <w:r w:rsidRPr="00243CDA">
        <w:rPr>
          <w:rStyle w:val="ekvlsung"/>
        </w:rPr>
        <w:t>-</w:t>
      </w:r>
      <w:r w:rsidRPr="00243CDA">
        <w:rPr>
          <w:rStyle w:val="ekvlsung"/>
        </w:rPr>
        <w:tab/>
        <w:t>einige Länder z.</w:t>
      </w:r>
      <w:r w:rsidRPr="00243CDA">
        <w:rPr>
          <w:rStyle w:val="ekvlsung"/>
          <w:w w:val="50"/>
        </w:rPr>
        <w:t> </w:t>
      </w:r>
      <w:r w:rsidRPr="00243CDA">
        <w:rPr>
          <w:rStyle w:val="ekvlsung"/>
        </w:rPr>
        <w:t>B. in der Golfregion bemühen sich zudem seit einigen Jahren, Arbeitsplätze in der eigenen Wirtschaft vorzugsweise mit heimischen Arbeitskräften zu besetzen.</w:t>
      </w:r>
    </w:p>
    <w:p w14:paraId="5B66CF68" w14:textId="41737612" w:rsidR="000562C1" w:rsidRDefault="000562C1" w:rsidP="00243CDA">
      <w:pPr>
        <w:pStyle w:val="ekvgrundtexthalbe"/>
      </w:pPr>
    </w:p>
    <w:p w14:paraId="0585569A" w14:textId="582328B5" w:rsidR="00243CDA" w:rsidRPr="00243CDA" w:rsidRDefault="00243CDA" w:rsidP="00243CDA">
      <w:pPr>
        <w:rPr>
          <w:rStyle w:val="ekvlsung"/>
        </w:rPr>
      </w:pPr>
      <w:r w:rsidRPr="00243CDA">
        <w:rPr>
          <w:rStyle w:val="ekvlsung"/>
        </w:rPr>
        <w:t>(pro vorgebrachtes Argument 2 VP)</w:t>
      </w:r>
    </w:p>
    <w:p w14:paraId="7B8892C4" w14:textId="77777777" w:rsidR="00243CDA" w:rsidRDefault="00243CDA" w:rsidP="00243CDA"/>
    <w:p w14:paraId="5E9CEE97" w14:textId="16E073CA" w:rsidR="002D6193" w:rsidRPr="00840D27" w:rsidRDefault="002D6193" w:rsidP="002D6193">
      <w:pPr>
        <w:tabs>
          <w:tab w:val="right" w:pos="9356"/>
        </w:tabs>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sidR="00173505">
        <w:rPr>
          <w:rStyle w:val="ekvgrau"/>
        </w:rPr>
        <w:t>66</w:t>
      </w:r>
      <w:r w:rsidRPr="002D6193">
        <w:rPr>
          <w:rStyle w:val="ekvgrau"/>
        </w:rPr>
        <w:t xml:space="preserve"> P.)</w:t>
      </w:r>
    </w:p>
    <w:sectPr w:rsidR="002D6193" w:rsidRPr="00840D27" w:rsidSect="00840D27">
      <w:headerReference w:type="default" r:id="rId8"/>
      <w:footerReference w:type="default" r:id="rId9"/>
      <w:type w:val="continuous"/>
      <w:pgSz w:w="11906" w:h="16838" w:code="9"/>
      <w:pgMar w:top="454" w:right="1276" w:bottom="284"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E44D" w14:textId="77777777" w:rsidR="006D5B13" w:rsidRDefault="006D5B13" w:rsidP="003C599D">
      <w:pPr>
        <w:spacing w:line="240" w:lineRule="auto"/>
      </w:pPr>
      <w:r>
        <w:separator/>
      </w:r>
    </w:p>
  </w:endnote>
  <w:endnote w:type="continuationSeparator" w:id="0">
    <w:p w14:paraId="4EA6E89A" w14:textId="77777777" w:rsidR="006D5B13" w:rsidRDefault="006D5B13"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5726"/>
    </w:tblGrid>
    <w:tr w:rsidR="000711B5" w:rsidRPr="00F42294" w14:paraId="525890E1" w14:textId="77777777" w:rsidTr="00981583">
      <w:trPr>
        <w:trHeight w:hRule="exact" w:val="680"/>
      </w:trPr>
      <w:tc>
        <w:tcPr>
          <w:tcW w:w="864" w:type="dxa"/>
          <w:noWrap/>
        </w:tcPr>
        <w:p w14:paraId="2161C919" w14:textId="77777777" w:rsidR="000711B5" w:rsidRPr="00913892" w:rsidRDefault="000711B5" w:rsidP="005E4C30">
          <w:pPr>
            <w:pStyle w:val="ekvpaginabild"/>
            <w:jc w:val="both"/>
          </w:pPr>
          <w:bookmarkStart w:id="1" w:name="_Hlk63936507"/>
          <w:r w:rsidRPr="00913892">
            <w:rPr>
              <w:lang w:eastAsia="de-DE"/>
            </w:rPr>
            <w:drawing>
              <wp:inline distT="0" distB="0" distL="0" distR="0" wp14:anchorId="213FA2E5" wp14:editId="2159017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3F6C7CBA" w14:textId="3F2BEAB4" w:rsidR="000711B5" w:rsidRPr="00913892" w:rsidRDefault="000711B5" w:rsidP="00554EDA">
          <w:pPr>
            <w:pStyle w:val="ekvpagina"/>
          </w:pPr>
          <w:r w:rsidRPr="00913892">
            <w:t>© Ernst Klett Verlag GmbH, Stuttgart 20</w:t>
          </w:r>
          <w:r>
            <w:t xml:space="preserve">22 </w:t>
          </w:r>
          <w:r w:rsidRPr="00913892">
            <w:t xml:space="preserve">| www.klett.de | </w:t>
          </w:r>
          <w:r>
            <w:br/>
          </w:r>
          <w:r w:rsidRPr="00913892">
            <w:t>Alle Rechte vorbehalten. Von dieser Druckvorlage ist die Vervielfältigung für den eigenen Unterrichtsgebrauch gestattet. Die Kopiergebühren sind abgegolten.</w:t>
          </w:r>
        </w:p>
      </w:tc>
      <w:tc>
        <w:tcPr>
          <w:tcW w:w="5726" w:type="dxa"/>
          <w:noWrap/>
        </w:tcPr>
        <w:p w14:paraId="6BDDD7F3" w14:textId="77777777" w:rsidR="000711B5" w:rsidRDefault="000711B5" w:rsidP="000711B5">
          <w:pPr>
            <w:pStyle w:val="ekvpagina"/>
          </w:pPr>
          <w:r w:rsidRPr="00D6115B">
            <w:t>Programmbereich Gesellschaftswissenschaften</w:t>
          </w:r>
        </w:p>
        <w:p w14:paraId="3D150E99" w14:textId="4A810D63" w:rsidR="000711B5" w:rsidRDefault="000711B5" w:rsidP="000711B5">
          <w:pPr>
            <w:pStyle w:val="ekvpagina"/>
          </w:pPr>
          <w:r w:rsidRPr="0081754E">
            <w:t xml:space="preserve">Autor: </w:t>
          </w:r>
          <w:r w:rsidRPr="000711B5">
            <w:t>Dr. W. Korby</w:t>
          </w:r>
        </w:p>
        <w:p w14:paraId="76B67FFA" w14:textId="09871552" w:rsidR="000711B5" w:rsidRPr="00913892" w:rsidRDefault="000711B5" w:rsidP="00340452">
          <w:pPr>
            <w:pStyle w:val="ekvpagina"/>
          </w:pPr>
          <w:r w:rsidRPr="00FC700C">
            <w:t xml:space="preserve">Abbildungsnachweis: </w:t>
          </w:r>
          <w:r w:rsidR="00340452">
            <w:t>Eigene Darstellung nach EUROSTAT; Eckenfelder, Bettina, Eisenach;</w:t>
          </w:r>
          <w:r w:rsidR="00340452">
            <w:t xml:space="preserve"> </w:t>
          </w:r>
          <w:r w:rsidR="00340452">
            <w:t>Rudolf Schöpper "Mittelfristig alles o.k. Junge. - Aber den trägst du, wenn du groß bist!"- Universitäts- und Landesbibliothek Münster, N. Schöpper</w:t>
          </w:r>
        </w:p>
      </w:tc>
    </w:tr>
    <w:bookmarkEnd w:id="1"/>
  </w:tbl>
  <w:p w14:paraId="2ABAF9B5"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DA301" w14:textId="77777777" w:rsidR="006D5B13" w:rsidRDefault="006D5B13" w:rsidP="003C599D">
      <w:pPr>
        <w:spacing w:line="240" w:lineRule="auto"/>
      </w:pPr>
      <w:r>
        <w:separator/>
      </w:r>
    </w:p>
  </w:footnote>
  <w:footnote w:type="continuationSeparator" w:id="0">
    <w:p w14:paraId="383ECA5F" w14:textId="77777777" w:rsidR="006D5B13" w:rsidRDefault="006D5B13"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140D4" w:rsidRPr="00C172AE" w14:paraId="4B8FB1D1" w14:textId="77777777" w:rsidTr="006975EF">
      <w:trPr>
        <w:trHeight w:hRule="exact" w:val="510"/>
      </w:trPr>
      <w:tc>
        <w:tcPr>
          <w:tcW w:w="818" w:type="dxa"/>
          <w:tcBorders>
            <w:top w:val="nil"/>
            <w:bottom w:val="nil"/>
            <w:right w:val="nil"/>
          </w:tcBorders>
          <w:noWrap/>
          <w:vAlign w:val="bottom"/>
        </w:tcPr>
        <w:p w14:paraId="35DE6F53" w14:textId="77777777" w:rsidR="00F140D4" w:rsidRPr="00AE65F6" w:rsidRDefault="00F140D4" w:rsidP="00F140D4">
          <w:pPr>
            <w:pageBreakBefore/>
            <w:rPr>
              <w:color w:val="FFFFFF" w:themeColor="background1"/>
            </w:rPr>
          </w:pPr>
        </w:p>
      </w:tc>
      <w:tc>
        <w:tcPr>
          <w:tcW w:w="3856" w:type="dxa"/>
          <w:tcBorders>
            <w:top w:val="nil"/>
            <w:left w:val="nil"/>
            <w:bottom w:val="nil"/>
            <w:right w:val="nil"/>
          </w:tcBorders>
          <w:noWrap/>
          <w:vAlign w:val="bottom"/>
        </w:tcPr>
        <w:p w14:paraId="31618EE8" w14:textId="77777777" w:rsidR="00F140D4" w:rsidRPr="007C1230" w:rsidRDefault="00F140D4" w:rsidP="00F140D4">
          <w:pPr>
            <w:pStyle w:val="ekvkolumnentitel"/>
          </w:pPr>
          <w:r w:rsidRPr="007C1230">
            <w:t>Name:</w:t>
          </w:r>
        </w:p>
      </w:tc>
      <w:tc>
        <w:tcPr>
          <w:tcW w:w="1321" w:type="dxa"/>
          <w:tcBorders>
            <w:top w:val="nil"/>
            <w:left w:val="nil"/>
            <w:bottom w:val="nil"/>
            <w:right w:val="nil"/>
          </w:tcBorders>
          <w:noWrap/>
          <w:vAlign w:val="bottom"/>
        </w:tcPr>
        <w:p w14:paraId="06B42643" w14:textId="77777777" w:rsidR="00F140D4" w:rsidRPr="007C1230" w:rsidRDefault="00F140D4" w:rsidP="00F140D4">
          <w:pPr>
            <w:pStyle w:val="ekvkolumnentitel"/>
          </w:pPr>
          <w:r w:rsidRPr="007C1230">
            <w:t>Klasse:</w:t>
          </w:r>
        </w:p>
      </w:tc>
      <w:tc>
        <w:tcPr>
          <w:tcW w:w="2041" w:type="dxa"/>
          <w:tcBorders>
            <w:top w:val="nil"/>
            <w:left w:val="nil"/>
            <w:bottom w:val="nil"/>
            <w:right w:val="nil"/>
          </w:tcBorders>
          <w:noWrap/>
          <w:vAlign w:val="bottom"/>
        </w:tcPr>
        <w:p w14:paraId="482C92DC" w14:textId="77777777" w:rsidR="00F140D4" w:rsidRPr="007C1230" w:rsidRDefault="00F140D4" w:rsidP="00F140D4">
          <w:pPr>
            <w:pStyle w:val="ekvkolumnentitel"/>
          </w:pPr>
          <w:r w:rsidRPr="007C1230">
            <w:t>Datum:</w:t>
          </w:r>
        </w:p>
      </w:tc>
      <w:tc>
        <w:tcPr>
          <w:tcW w:w="2081" w:type="dxa"/>
          <w:tcBorders>
            <w:top w:val="nil"/>
            <w:left w:val="nil"/>
            <w:bottom w:val="nil"/>
            <w:right w:val="nil"/>
          </w:tcBorders>
          <w:noWrap/>
          <w:vAlign w:val="bottom"/>
        </w:tcPr>
        <w:p w14:paraId="710AD670" w14:textId="02DE1EC9" w:rsidR="00F140D4" w:rsidRPr="007C1230" w:rsidRDefault="00F140D4" w:rsidP="00F140D4">
          <w:pPr>
            <w:pStyle w:val="ekvkvnummer"/>
          </w:pPr>
          <w:r>
            <w:t>KT</w:t>
          </w:r>
          <w:r w:rsidR="00EE2121">
            <w:t>-L</w:t>
          </w:r>
        </w:p>
      </w:tc>
      <w:tc>
        <w:tcPr>
          <w:tcW w:w="883" w:type="dxa"/>
          <w:tcBorders>
            <w:top w:val="nil"/>
            <w:left w:val="nil"/>
            <w:bottom w:val="nil"/>
          </w:tcBorders>
          <w:noWrap/>
          <w:vAlign w:val="bottom"/>
        </w:tcPr>
        <w:p w14:paraId="47D182B2" w14:textId="6066ADE4" w:rsidR="00F140D4" w:rsidRPr="007636A0" w:rsidRDefault="00175A90" w:rsidP="00F140D4">
          <w:pPr>
            <w:pStyle w:val="ekvkapitel"/>
            <w:rPr>
              <w:color w:val="FFFFFF" w:themeColor="background1"/>
            </w:rPr>
          </w:pPr>
          <w:r>
            <w:t>9</w:t>
          </w:r>
        </w:p>
      </w:tc>
    </w:tr>
    <w:tr w:rsidR="00F140D4" w:rsidRPr="00BF17F2" w14:paraId="4E465E60" w14:textId="77777777" w:rsidTr="006975EF">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2A57FE2" w14:textId="77777777" w:rsidR="00F140D4" w:rsidRPr="00BF17F2" w:rsidRDefault="00F140D4" w:rsidP="00F140D4">
          <w:pPr>
            <w:rPr>
              <w:color w:val="FFFFFF" w:themeColor="background1"/>
            </w:rPr>
          </w:pPr>
        </w:p>
      </w:tc>
      <w:tc>
        <w:tcPr>
          <w:tcW w:w="10182" w:type="dxa"/>
          <w:gridSpan w:val="5"/>
          <w:tcBorders>
            <w:left w:val="nil"/>
            <w:bottom w:val="nil"/>
          </w:tcBorders>
          <w:noWrap/>
          <w:vAlign w:val="bottom"/>
        </w:tcPr>
        <w:p w14:paraId="0227DC98" w14:textId="77777777" w:rsidR="00F140D4" w:rsidRPr="00BF17F2" w:rsidRDefault="00F140D4" w:rsidP="00F140D4">
          <w:pPr>
            <w:rPr>
              <w:color w:val="FFFFFF" w:themeColor="background1"/>
            </w:rPr>
          </w:pPr>
        </w:p>
      </w:tc>
    </w:tr>
  </w:tbl>
  <w:p w14:paraId="1676C92F" w14:textId="7F66671B" w:rsidR="003E226B" w:rsidRDefault="003E226B">
    <w:pPr>
      <w:pStyle w:val="Kopfzeile"/>
    </w:pPr>
  </w:p>
  <w:p w14:paraId="6610DDEC" w14:textId="77777777" w:rsidR="003E226B" w:rsidRDefault="003E226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36B"/>
    <w:rsid w:val="000040E2"/>
    <w:rsid w:val="00014D7E"/>
    <w:rsid w:val="0002009E"/>
    <w:rsid w:val="00020440"/>
    <w:rsid w:val="0002757F"/>
    <w:rsid w:val="000307B4"/>
    <w:rsid w:val="00032645"/>
    <w:rsid w:val="00035074"/>
    <w:rsid w:val="00037566"/>
    <w:rsid w:val="00043523"/>
    <w:rsid w:val="000520A2"/>
    <w:rsid w:val="000523D4"/>
    <w:rsid w:val="00053B2F"/>
    <w:rsid w:val="00054678"/>
    <w:rsid w:val="00054A93"/>
    <w:rsid w:val="000562C1"/>
    <w:rsid w:val="00060050"/>
    <w:rsid w:val="0006258C"/>
    <w:rsid w:val="00062D31"/>
    <w:rsid w:val="000711B5"/>
    <w:rsid w:val="000779C3"/>
    <w:rsid w:val="000812E6"/>
    <w:rsid w:val="000831DE"/>
    <w:rsid w:val="00090AB2"/>
    <w:rsid w:val="000928AA"/>
    <w:rsid w:val="00092E87"/>
    <w:rsid w:val="000939F5"/>
    <w:rsid w:val="00094F01"/>
    <w:rsid w:val="00096A09"/>
    <w:rsid w:val="000A51A5"/>
    <w:rsid w:val="000A7892"/>
    <w:rsid w:val="000B098D"/>
    <w:rsid w:val="000B5FE5"/>
    <w:rsid w:val="000B7BD3"/>
    <w:rsid w:val="000C11E0"/>
    <w:rsid w:val="000C3822"/>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73505"/>
    <w:rsid w:val="00175A90"/>
    <w:rsid w:val="00182050"/>
    <w:rsid w:val="00182B7D"/>
    <w:rsid w:val="001845AC"/>
    <w:rsid w:val="00186866"/>
    <w:rsid w:val="00190B65"/>
    <w:rsid w:val="00193A18"/>
    <w:rsid w:val="001A3936"/>
    <w:rsid w:val="001A5BD5"/>
    <w:rsid w:val="001B454A"/>
    <w:rsid w:val="001C2DC7"/>
    <w:rsid w:val="001C3792"/>
    <w:rsid w:val="001C499E"/>
    <w:rsid w:val="001C5CA0"/>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3CDA"/>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C71C3"/>
    <w:rsid w:val="002D41F4"/>
    <w:rsid w:val="002D6193"/>
    <w:rsid w:val="002D7B0C"/>
    <w:rsid w:val="002D7B42"/>
    <w:rsid w:val="002E163A"/>
    <w:rsid w:val="002E21C3"/>
    <w:rsid w:val="002E41A8"/>
    <w:rsid w:val="002F1328"/>
    <w:rsid w:val="002F1D62"/>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40452"/>
    <w:rsid w:val="00350FBE"/>
    <w:rsid w:val="00353FF6"/>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958B3"/>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469AE"/>
    <w:rsid w:val="00454148"/>
    <w:rsid w:val="004621B3"/>
    <w:rsid w:val="0046364F"/>
    <w:rsid w:val="00465073"/>
    <w:rsid w:val="00465612"/>
    <w:rsid w:val="0047471A"/>
    <w:rsid w:val="00475402"/>
    <w:rsid w:val="00483A7A"/>
    <w:rsid w:val="00483D65"/>
    <w:rsid w:val="00484B5B"/>
    <w:rsid w:val="00486B3D"/>
    <w:rsid w:val="00490692"/>
    <w:rsid w:val="004925F2"/>
    <w:rsid w:val="004A5B15"/>
    <w:rsid w:val="004A66C3"/>
    <w:rsid w:val="004A66CF"/>
    <w:rsid w:val="004B2E86"/>
    <w:rsid w:val="004E3969"/>
    <w:rsid w:val="00501528"/>
    <w:rsid w:val="005069C1"/>
    <w:rsid w:val="00514229"/>
    <w:rsid w:val="005156EC"/>
    <w:rsid w:val="005168A4"/>
    <w:rsid w:val="0052117E"/>
    <w:rsid w:val="00521B91"/>
    <w:rsid w:val="00522BFB"/>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0C6F"/>
    <w:rsid w:val="006011EC"/>
    <w:rsid w:val="00603AD5"/>
    <w:rsid w:val="00605B68"/>
    <w:rsid w:val="006201CB"/>
    <w:rsid w:val="00622F6B"/>
    <w:rsid w:val="00627765"/>
    <w:rsid w:val="00627A02"/>
    <w:rsid w:val="00634276"/>
    <w:rsid w:val="0064692C"/>
    <w:rsid w:val="00653F68"/>
    <w:rsid w:val="006802C4"/>
    <w:rsid w:val="00682844"/>
    <w:rsid w:val="0068429A"/>
    <w:rsid w:val="00685FDD"/>
    <w:rsid w:val="006912DC"/>
    <w:rsid w:val="00693298"/>
    <w:rsid w:val="00693676"/>
    <w:rsid w:val="006A5611"/>
    <w:rsid w:val="006A71DE"/>
    <w:rsid w:val="006A76D7"/>
    <w:rsid w:val="006A7BDB"/>
    <w:rsid w:val="006B29D8"/>
    <w:rsid w:val="006B2D23"/>
    <w:rsid w:val="006B3EF4"/>
    <w:rsid w:val="006B6247"/>
    <w:rsid w:val="006C4E52"/>
    <w:rsid w:val="006C6A77"/>
    <w:rsid w:val="006D1F6D"/>
    <w:rsid w:val="006D49F0"/>
    <w:rsid w:val="006D5B13"/>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2ED"/>
    <w:rsid w:val="0073238D"/>
    <w:rsid w:val="00733A44"/>
    <w:rsid w:val="0074087D"/>
    <w:rsid w:val="00741417"/>
    <w:rsid w:val="00744EA1"/>
    <w:rsid w:val="00745BC6"/>
    <w:rsid w:val="00747C4A"/>
    <w:rsid w:val="007507F9"/>
    <w:rsid w:val="00751B0E"/>
    <w:rsid w:val="0075636B"/>
    <w:rsid w:val="00760C41"/>
    <w:rsid w:val="007619B6"/>
    <w:rsid w:val="007636A0"/>
    <w:rsid w:val="007661BA"/>
    <w:rsid w:val="00766405"/>
    <w:rsid w:val="0076691A"/>
    <w:rsid w:val="00772DA9"/>
    <w:rsid w:val="00775322"/>
    <w:rsid w:val="007814C9"/>
    <w:rsid w:val="00783213"/>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1754E"/>
    <w:rsid w:val="0082136B"/>
    <w:rsid w:val="00826DDD"/>
    <w:rsid w:val="008273B7"/>
    <w:rsid w:val="008277EF"/>
    <w:rsid w:val="00833C80"/>
    <w:rsid w:val="0083695D"/>
    <w:rsid w:val="00840D27"/>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345"/>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28BD"/>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A48"/>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5466"/>
    <w:rsid w:val="00AB6AE5"/>
    <w:rsid w:val="00AB7619"/>
    <w:rsid w:val="00AC01E7"/>
    <w:rsid w:val="00AC4530"/>
    <w:rsid w:val="00AC7B89"/>
    <w:rsid w:val="00AD4D22"/>
    <w:rsid w:val="00AE2B1D"/>
    <w:rsid w:val="00AE65F6"/>
    <w:rsid w:val="00AF053E"/>
    <w:rsid w:val="00B00587"/>
    <w:rsid w:val="00B039E8"/>
    <w:rsid w:val="00B05E65"/>
    <w:rsid w:val="00B14B45"/>
    <w:rsid w:val="00B155E8"/>
    <w:rsid w:val="00B15F75"/>
    <w:rsid w:val="00B2194E"/>
    <w:rsid w:val="00B23448"/>
    <w:rsid w:val="00B31F29"/>
    <w:rsid w:val="00B32DAF"/>
    <w:rsid w:val="00B3499A"/>
    <w:rsid w:val="00B3773F"/>
    <w:rsid w:val="00B37E68"/>
    <w:rsid w:val="00B468CC"/>
    <w:rsid w:val="00B52FB3"/>
    <w:rsid w:val="00B54655"/>
    <w:rsid w:val="00B6045F"/>
    <w:rsid w:val="00B60BEA"/>
    <w:rsid w:val="00B70266"/>
    <w:rsid w:val="00B7242A"/>
    <w:rsid w:val="00B8071F"/>
    <w:rsid w:val="00B8109A"/>
    <w:rsid w:val="00B82B4E"/>
    <w:rsid w:val="00B8420E"/>
    <w:rsid w:val="00B90CE1"/>
    <w:rsid w:val="00B94B81"/>
    <w:rsid w:val="00BA1A23"/>
    <w:rsid w:val="00BA2134"/>
    <w:rsid w:val="00BB2F2F"/>
    <w:rsid w:val="00BC2025"/>
    <w:rsid w:val="00BC2CD2"/>
    <w:rsid w:val="00BC6483"/>
    <w:rsid w:val="00BC69E3"/>
    <w:rsid w:val="00BC7335"/>
    <w:rsid w:val="00BD542D"/>
    <w:rsid w:val="00BD6E66"/>
    <w:rsid w:val="00BE1962"/>
    <w:rsid w:val="00BE4821"/>
    <w:rsid w:val="00BF17F2"/>
    <w:rsid w:val="00BF60A0"/>
    <w:rsid w:val="00C00404"/>
    <w:rsid w:val="00C00540"/>
    <w:rsid w:val="00C172AE"/>
    <w:rsid w:val="00C17BE6"/>
    <w:rsid w:val="00C343F5"/>
    <w:rsid w:val="00C40555"/>
    <w:rsid w:val="00C40D51"/>
    <w:rsid w:val="00C429A6"/>
    <w:rsid w:val="00C45D3B"/>
    <w:rsid w:val="00C46BF4"/>
    <w:rsid w:val="00C473E9"/>
    <w:rsid w:val="00C504F8"/>
    <w:rsid w:val="00C52804"/>
    <w:rsid w:val="00C52A99"/>
    <w:rsid w:val="00C52AB7"/>
    <w:rsid w:val="00C61654"/>
    <w:rsid w:val="00C70F84"/>
    <w:rsid w:val="00C727B3"/>
    <w:rsid w:val="00C72BA2"/>
    <w:rsid w:val="00C84E4C"/>
    <w:rsid w:val="00C87044"/>
    <w:rsid w:val="00C9136B"/>
    <w:rsid w:val="00C94D17"/>
    <w:rsid w:val="00CA0DCE"/>
    <w:rsid w:val="00CB17F5"/>
    <w:rsid w:val="00CB27C6"/>
    <w:rsid w:val="00CB463B"/>
    <w:rsid w:val="00CB5B82"/>
    <w:rsid w:val="00CB782D"/>
    <w:rsid w:val="00CC263E"/>
    <w:rsid w:val="00CC54E0"/>
    <w:rsid w:val="00CC65A8"/>
    <w:rsid w:val="00CC7DBB"/>
    <w:rsid w:val="00CD2014"/>
    <w:rsid w:val="00CD4219"/>
    <w:rsid w:val="00CD5490"/>
    <w:rsid w:val="00CD6369"/>
    <w:rsid w:val="00CE2A37"/>
    <w:rsid w:val="00CE3E54"/>
    <w:rsid w:val="00CE4C91"/>
    <w:rsid w:val="00CF2E1A"/>
    <w:rsid w:val="00CF6EC0"/>
    <w:rsid w:val="00CF715C"/>
    <w:rsid w:val="00D0196D"/>
    <w:rsid w:val="00D022EC"/>
    <w:rsid w:val="00D05217"/>
    <w:rsid w:val="00D06182"/>
    <w:rsid w:val="00D125BD"/>
    <w:rsid w:val="00D12661"/>
    <w:rsid w:val="00D14F61"/>
    <w:rsid w:val="00D1582D"/>
    <w:rsid w:val="00D2569D"/>
    <w:rsid w:val="00D27A1B"/>
    <w:rsid w:val="00D30806"/>
    <w:rsid w:val="00D34DC1"/>
    <w:rsid w:val="00D403F7"/>
    <w:rsid w:val="00D419C2"/>
    <w:rsid w:val="00D42356"/>
    <w:rsid w:val="00D559DE"/>
    <w:rsid w:val="00D56FEB"/>
    <w:rsid w:val="00D6076D"/>
    <w:rsid w:val="00D6115B"/>
    <w:rsid w:val="00D61DD0"/>
    <w:rsid w:val="00D62096"/>
    <w:rsid w:val="00D627E5"/>
    <w:rsid w:val="00D649B5"/>
    <w:rsid w:val="00D66056"/>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B3CB3"/>
    <w:rsid w:val="00DB4BA3"/>
    <w:rsid w:val="00DC2340"/>
    <w:rsid w:val="00DC255A"/>
    <w:rsid w:val="00DC30DA"/>
    <w:rsid w:val="00DE287B"/>
    <w:rsid w:val="00DE603B"/>
    <w:rsid w:val="00DF129D"/>
    <w:rsid w:val="00DF4371"/>
    <w:rsid w:val="00DF625F"/>
    <w:rsid w:val="00DF74DB"/>
    <w:rsid w:val="00E00C59"/>
    <w:rsid w:val="00E01841"/>
    <w:rsid w:val="00E045FD"/>
    <w:rsid w:val="00E05976"/>
    <w:rsid w:val="00E1113D"/>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7542"/>
    <w:rsid w:val="00EB2280"/>
    <w:rsid w:val="00EB334A"/>
    <w:rsid w:val="00EC1621"/>
    <w:rsid w:val="00EC1FF0"/>
    <w:rsid w:val="00EC662E"/>
    <w:rsid w:val="00EC6997"/>
    <w:rsid w:val="00ED07FE"/>
    <w:rsid w:val="00EE049D"/>
    <w:rsid w:val="00EE2121"/>
    <w:rsid w:val="00EE2721"/>
    <w:rsid w:val="00EE2A0B"/>
    <w:rsid w:val="00EF6029"/>
    <w:rsid w:val="00F140D4"/>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3CEC"/>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00C"/>
    <w:rsid w:val="00FC7DBF"/>
    <w:rsid w:val="00FD46F7"/>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48D66"/>
  <w15:chartTrackingRefBased/>
  <w15:docId w15:val="{B7912CF4-9C86-4E54-9BFE-D586CDF8E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96A0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942345"/>
    <w:pPr>
      <w:tabs>
        <w:tab w:val="left" w:pos="454"/>
        <w:tab w:val="left" w:pos="794"/>
        <w:tab w:val="right" w:pos="9356"/>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CE4C91"/>
    <w:rPr>
      <w:color w:val="808080" w:themeColor="background1" w:themeShade="80"/>
      <w:szCs w:val="24"/>
    </w:rPr>
  </w:style>
  <w:style w:type="paragraph" w:styleId="Beschriftung">
    <w:name w:val="caption"/>
    <w:basedOn w:val="Standard"/>
    <w:next w:val="Standard"/>
    <w:uiPriority w:val="35"/>
    <w:unhideWhenUsed/>
    <w:qFormat/>
    <w:rsid w:val="00FC70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9829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7</cp:revision>
  <cp:lastPrinted>2016-12-23T16:36:00Z</cp:lastPrinted>
  <dcterms:created xsi:type="dcterms:W3CDTF">2022-03-28T09:11:00Z</dcterms:created>
  <dcterms:modified xsi:type="dcterms:W3CDTF">2022-04-25T08:56:00Z</dcterms:modified>
</cp:coreProperties>
</file>