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70BA752D" w14:textId="268AFD8A" w:rsidR="0075636B" w:rsidRDefault="005D5324" w:rsidP="0075636B">
      <w:pPr>
        <w:pStyle w:val="ekvue1arial"/>
      </w:pPr>
      <w:bookmarkStart w:id="0" w:name="_Hlk63936526"/>
      <w:r w:rsidRPr="005D5324">
        <w:t xml:space="preserve">Wirtschaftsregionen unter dem Einfluss </w:t>
      </w:r>
      <w:r>
        <w:br/>
      </w:r>
      <w:r w:rsidRPr="005D5324">
        <w:t>der Globalisierung</w:t>
      </w:r>
    </w:p>
    <w:p w14:paraId="3C2E349C" w14:textId="77777777" w:rsidR="0075636B" w:rsidRDefault="0075636B" w:rsidP="0075636B"/>
    <w:p w14:paraId="53A528DA" w14:textId="77777777" w:rsidR="0075636B" w:rsidRPr="00484B5B" w:rsidRDefault="0075636B" w:rsidP="00484B5B">
      <w:pPr>
        <w:pStyle w:val="ekvue3arial"/>
      </w:pPr>
      <w:r w:rsidRPr="00484B5B">
        <w:t>1.</w:t>
      </w:r>
      <w:r w:rsidRPr="00484B5B">
        <w:tab/>
        <w:t>Orientierungskompetenz</w:t>
      </w:r>
    </w:p>
    <w:p w14:paraId="021D076B" w14:textId="7B48ADA1" w:rsidR="0075636B" w:rsidRPr="00B94B81" w:rsidRDefault="005D5324" w:rsidP="00484B5B">
      <w:pPr>
        <w:pStyle w:val="ekvaufzhlung"/>
        <w:rPr>
          <w:rStyle w:val="ekvfett"/>
        </w:rPr>
      </w:pPr>
      <w:r w:rsidRPr="005D5324">
        <w:rPr>
          <w:rStyle w:val="ekvfett"/>
        </w:rPr>
        <w:t>b)</w:t>
      </w:r>
      <w:r>
        <w:rPr>
          <w:rStyle w:val="ekvfett"/>
        </w:rPr>
        <w:tab/>
      </w:r>
      <w:r w:rsidRPr="005D5324">
        <w:rPr>
          <w:rStyle w:val="ekvfett"/>
        </w:rPr>
        <w:t>Ich kann die zehn Staaten des ASEAN-Wirtschaftsbündnisses in einer Südostasienkarte verorten: Brunei, Indonesien, Kambodscha, Laos, Malaysia, Myanmar, Philippinen, Singapur, Thailand und Vietnam.</w:t>
      </w:r>
      <w:r w:rsidR="00A80725">
        <w:rPr>
          <w:rStyle w:val="ekvfett"/>
        </w:rPr>
        <w:t xml:space="preserve"> </w:t>
      </w:r>
      <w:r w:rsidR="00A80725" w:rsidRPr="00A80725">
        <w:rPr>
          <w:rStyle w:val="ekvfett"/>
        </w:rPr>
        <w:t>(S. 275)</w:t>
      </w:r>
    </w:p>
    <w:p w14:paraId="3FEF825D" w14:textId="77777777" w:rsidR="00484B5B" w:rsidRDefault="00484B5B" w:rsidP="00465612">
      <w:pPr>
        <w:pStyle w:val="ekvaufzhlung"/>
      </w:pPr>
    </w:p>
    <w:p w14:paraId="2EB24DA4" w14:textId="196D45A4" w:rsidR="0075636B" w:rsidRPr="00CC263E" w:rsidRDefault="00CC263E" w:rsidP="00465612">
      <w:pPr>
        <w:pStyle w:val="ekvaufzhlung"/>
      </w:pPr>
      <w:r w:rsidRPr="00CC263E">
        <w:rPr>
          <w:rStyle w:val="ekvnummerierung"/>
        </w:rPr>
        <w:t>1</w:t>
      </w:r>
      <w:r w:rsidRPr="00CC263E">
        <w:rPr>
          <w:rStyle w:val="ekvnummerierung"/>
        </w:rPr>
        <w:tab/>
      </w:r>
      <w:r w:rsidR="005D5324" w:rsidRPr="005D5324">
        <w:t>Zeigen Sie in einer Weltkarte neben dem Wirtschaftsbündnis ASEAN auch die Wirtschaftsbündnisse USMCA (früher NAFTA) und Mercosur.</w:t>
      </w:r>
      <w:r w:rsidR="005D5324" w:rsidRPr="005D5324">
        <w:tab/>
      </w:r>
      <w:r w:rsidR="005D5324" w:rsidRPr="005D5324">
        <w:rPr>
          <w:rStyle w:val="ekvgrau"/>
        </w:rPr>
        <w:t>(5 VP</w:t>
      </w:r>
      <w:r w:rsidR="005D5324">
        <w:rPr>
          <w:rStyle w:val="ekvgrau"/>
        </w:rPr>
        <w:t>.</w:t>
      </w:r>
      <w:r w:rsidR="005D5324" w:rsidRPr="005D5324">
        <w:rPr>
          <w:rStyle w:val="ekvgrau"/>
        </w:rPr>
        <w:t>)</w:t>
      </w:r>
    </w:p>
    <w:p w14:paraId="0D273AEC" w14:textId="10157428" w:rsidR="00CE4C91" w:rsidRDefault="00CE4C91" w:rsidP="005D5324">
      <w:pPr>
        <w:pStyle w:val="ekvgrundtexthalbe"/>
      </w:pPr>
    </w:p>
    <w:p w14:paraId="2215D243" w14:textId="6CDB0DE5" w:rsidR="005D5324" w:rsidRDefault="005D5324" w:rsidP="005D5324">
      <w:pPr>
        <w:pStyle w:val="ekvbild"/>
      </w:pPr>
      <w:r>
        <mc:AlternateContent>
          <mc:Choice Requires="wps">
            <w:drawing>
              <wp:inline distT="0" distB="0" distL="0" distR="0" wp14:anchorId="2AB101A1" wp14:editId="24EA552B">
                <wp:extent cx="5940000" cy="2903220"/>
                <wp:effectExtent l="0" t="0" r="22860" b="1143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2903220"/>
                        </a:xfrm>
                        <a:prstGeom prst="rect">
                          <a:avLst/>
                        </a:prstGeom>
                        <a:solidFill>
                          <a:srgbClr val="FFFFFF"/>
                        </a:solidFill>
                        <a:ln w="9525">
                          <a:solidFill>
                            <a:srgbClr val="000000"/>
                          </a:solidFill>
                          <a:miter lim="800000"/>
                          <a:headEnd/>
                          <a:tailEnd/>
                        </a:ln>
                      </wps:spPr>
                      <wps:txbx>
                        <w:txbxContent>
                          <w:p w14:paraId="44678363" w14:textId="5A79DD3D" w:rsidR="005D5324" w:rsidRDefault="005D5324">
                            <w:r w:rsidRPr="005D5324">
                              <w:t>Weltkarte</w:t>
                            </w:r>
                          </w:p>
                          <w:p w14:paraId="10294D26" w14:textId="1B815212" w:rsidR="00D41A33" w:rsidRDefault="00D41A33"/>
                          <w:p w14:paraId="603C4DA4" w14:textId="77777777" w:rsidR="00D41A33" w:rsidRPr="00D41A33" w:rsidRDefault="00D41A33" w:rsidP="00D41A33">
                            <w:pPr>
                              <w:rPr>
                                <w:rStyle w:val="ekvlsung"/>
                              </w:rPr>
                            </w:pPr>
                            <w:r w:rsidRPr="00D41A33">
                              <w:rPr>
                                <w:rStyle w:val="ekvlsung"/>
                              </w:rPr>
                              <w:t xml:space="preserve">Lösung: </w:t>
                            </w:r>
                          </w:p>
                          <w:p w14:paraId="4B3636E8" w14:textId="047B6539" w:rsidR="00D41A33" w:rsidRPr="00D41A33" w:rsidRDefault="00D41A33" w:rsidP="00D41A33">
                            <w:pPr>
                              <w:rPr>
                                <w:rStyle w:val="ekvlsung"/>
                              </w:rPr>
                            </w:pPr>
                            <w:r w:rsidRPr="00D41A33">
                              <w:rPr>
                                <w:rStyle w:val="ekvlsung"/>
                              </w:rPr>
                              <w:t>Neben den zehn ASEAN-Staaten auch USMCA mit Kanada, USA und Mexiko sowie Mercosur mit Brasilien, Paraguay, Uruguay und Argentinien eintragen</w:t>
                            </w:r>
                          </w:p>
                        </w:txbxContent>
                      </wps:txbx>
                      <wps:bodyPr rot="0" vert="horz" wrap="square" lIns="91440" tIns="45720" rIns="91440" bIns="45720" anchor="t" anchorCtr="0">
                        <a:noAutofit/>
                      </wps:bodyPr>
                    </wps:wsp>
                  </a:graphicData>
                </a:graphic>
              </wp:inline>
            </w:drawing>
          </mc:Choice>
          <mc:Fallback>
            <w:pict>
              <v:shapetype w14:anchorId="2AB101A1" id="_x0000_t202" coordsize="21600,21600" o:spt="202" path="m,l,21600r21600,l21600,xe">
                <v:stroke joinstyle="miter"/>
                <v:path gradientshapeok="t" o:connecttype="rect"/>
              </v:shapetype>
              <v:shape id="Textfeld 2" o:spid="_x0000_s1026" type="#_x0000_t202" style="width:467.7pt;height:2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">
                <v:textbox>
                  <w:txbxContent>
                    <w:p w14:paraId="44678363" w14:textId="5A79DD3D" w:rsidR="005D5324" w:rsidRDefault="005D5324">
                      <w:r w:rsidRPr="005D5324">
                        <w:t>Weltkarte</w:t>
                      </w:r>
                    </w:p>
                    <w:p w14:paraId="10294D26" w14:textId="1B815212" w:rsidR="00D41A33" w:rsidRDefault="00D41A33"/>
                    <w:p w14:paraId="603C4DA4" w14:textId="77777777" w:rsidR="00D41A33" w:rsidRPr="00D41A33" w:rsidRDefault="00D41A33" w:rsidP="00D41A33">
                      <w:pPr>
                        <w:rPr>
                          <w:rStyle w:val="ekvlsung"/>
                        </w:rPr>
                      </w:pPr>
                      <w:r w:rsidRPr="00D41A33">
                        <w:rPr>
                          <w:rStyle w:val="ekvlsung"/>
                        </w:rPr>
                        <w:t xml:space="preserve">Lösung: </w:t>
                      </w:r>
                    </w:p>
                    <w:p w14:paraId="4B3636E8" w14:textId="047B6539" w:rsidR="00D41A33" w:rsidRPr="00D41A33" w:rsidRDefault="00D41A33" w:rsidP="00D41A33">
                      <w:pPr>
                        <w:rPr>
                          <w:rStyle w:val="ekvlsung"/>
                        </w:rPr>
                      </w:pPr>
                      <w:r w:rsidRPr="00D41A33">
                        <w:rPr>
                          <w:rStyle w:val="ekvlsung"/>
                        </w:rPr>
                        <w:t>Neben den zehn ASEAN-Staaten auch USMCA mit Kanada, USA und Mexiko sowie Mercosur mit Brasilien, Paraguay, Uruguay und Argentinien eintragen</w:t>
                      </w:r>
                    </w:p>
                  </w:txbxContent>
                </v:textbox>
                <w10:anchorlock/>
              </v:shape>
            </w:pict>
          </mc:Fallback>
        </mc:AlternateContent>
      </w:r>
    </w:p>
    <w:p w14:paraId="63B65FE9" w14:textId="77777777" w:rsidR="005D5324" w:rsidRPr="00CC263E" w:rsidRDefault="005D5324" w:rsidP="00CC263E"/>
    <w:p w14:paraId="374EE226" w14:textId="77777777" w:rsidR="0075636B" w:rsidRPr="00484B5B" w:rsidRDefault="0075636B" w:rsidP="00484B5B">
      <w:pPr>
        <w:pStyle w:val="ekvue3arial"/>
      </w:pPr>
      <w:r w:rsidRPr="00484B5B">
        <w:t>2.</w:t>
      </w:r>
      <w:r w:rsidRPr="00484B5B">
        <w:tab/>
        <w:t>Sachkompetenz</w:t>
      </w:r>
    </w:p>
    <w:p w14:paraId="6846A198" w14:textId="591E91EC" w:rsidR="0075636B" w:rsidRPr="00B94B81" w:rsidRDefault="005D5324" w:rsidP="00484B5B">
      <w:pPr>
        <w:pStyle w:val="ekvaufzhlung"/>
        <w:rPr>
          <w:rStyle w:val="ekvfett"/>
        </w:rPr>
      </w:pPr>
      <w:r w:rsidRPr="005D5324">
        <w:rPr>
          <w:rStyle w:val="ekvfett"/>
        </w:rPr>
        <w:t>a)</w:t>
      </w:r>
      <w:r>
        <w:rPr>
          <w:rStyle w:val="ekvfett"/>
        </w:rPr>
        <w:tab/>
      </w:r>
      <w:r w:rsidRPr="005D5324">
        <w:rPr>
          <w:rStyle w:val="ekvfett"/>
        </w:rPr>
        <w:t>Ich kann die Bedeutung von PCs und anderen digitalen Endgeräten (z.</w:t>
      </w:r>
      <w:r w:rsidRPr="005D5324">
        <w:rPr>
          <w:rStyle w:val="ekvfett"/>
          <w:w w:val="50"/>
        </w:rPr>
        <w:t> </w:t>
      </w:r>
      <w:r w:rsidRPr="005D5324">
        <w:rPr>
          <w:rStyle w:val="ekvfett"/>
        </w:rPr>
        <w:t>B. auch Smartphones) für die Globalisierung beschreiben.</w:t>
      </w:r>
      <w:r w:rsidR="00A80725">
        <w:rPr>
          <w:rStyle w:val="ekvfett"/>
        </w:rPr>
        <w:t xml:space="preserve"> </w:t>
      </w:r>
      <w:r w:rsidR="00A80725" w:rsidRPr="00A80725">
        <w:rPr>
          <w:rStyle w:val="ekvfett"/>
        </w:rPr>
        <w:t>(S. 270</w:t>
      </w:r>
      <w:r w:rsidR="00A80725">
        <w:rPr>
          <w:rStyle w:val="ekvfett"/>
        </w:rPr>
        <w:t>–</w:t>
      </w:r>
      <w:r w:rsidR="00A80725" w:rsidRPr="00A80725">
        <w:rPr>
          <w:rStyle w:val="ekvfett"/>
        </w:rPr>
        <w:t>273)</w:t>
      </w:r>
    </w:p>
    <w:p w14:paraId="0C10CA86" w14:textId="77777777" w:rsidR="00484B5B" w:rsidRDefault="00484B5B" w:rsidP="00465612">
      <w:pPr>
        <w:tabs>
          <w:tab w:val="right" w:pos="9356"/>
        </w:tabs>
        <w:ind w:left="595" w:hanging="595"/>
      </w:pPr>
    </w:p>
    <w:p w14:paraId="78B24398" w14:textId="4BC9F359" w:rsidR="0075636B" w:rsidRPr="00CC263E" w:rsidRDefault="00CC263E" w:rsidP="00CC263E">
      <w:pPr>
        <w:pStyle w:val="ekvaufzhlung"/>
      </w:pPr>
      <w:r w:rsidRPr="00CC263E">
        <w:rPr>
          <w:rStyle w:val="ekvnummerierung"/>
        </w:rPr>
        <w:t>1</w:t>
      </w:r>
      <w:r w:rsidRPr="00CC263E">
        <w:rPr>
          <w:rStyle w:val="ekvnummerierung"/>
        </w:rPr>
        <w:tab/>
      </w:r>
      <w:r w:rsidR="005D5324" w:rsidRPr="005D5324">
        <w:t xml:space="preserve">Nennen Sie neben PCs und anderen digitalen Endgräten mindestens vier weitere Antriebskräfte </w:t>
      </w:r>
      <w:r w:rsidR="005D5324">
        <w:br/>
      </w:r>
      <w:r w:rsidR="005D5324" w:rsidRPr="005D5324">
        <w:t>für den Globalisierungsprozess.</w:t>
      </w:r>
      <w:r w:rsidR="005D5324" w:rsidRPr="005D5324">
        <w:tab/>
      </w:r>
      <w:r w:rsidR="005D5324" w:rsidRPr="005D5324">
        <w:rPr>
          <w:rStyle w:val="ekvgrau"/>
        </w:rPr>
        <w:t>(4 VP</w:t>
      </w:r>
      <w:r w:rsidR="005D5324">
        <w:rPr>
          <w:rStyle w:val="ekvgrau"/>
        </w:rPr>
        <w:t>.</w:t>
      </w:r>
      <w:r w:rsidR="005D5324" w:rsidRPr="005D5324">
        <w:rPr>
          <w:rStyle w:val="ekvgrau"/>
        </w:rPr>
        <w:t>)</w:t>
      </w:r>
    </w:p>
    <w:p w14:paraId="09AA25CF" w14:textId="2761F63A" w:rsidR="00540A83" w:rsidRPr="00540A83" w:rsidRDefault="00540A83" w:rsidP="00D41A33">
      <w:pPr>
        <w:pStyle w:val="ekvgrundtexthalbe"/>
      </w:pPr>
    </w:p>
    <w:p w14:paraId="3E7E2D97" w14:textId="61081D18" w:rsidR="00D41A33" w:rsidRPr="00D41A33" w:rsidRDefault="00A80725" w:rsidP="00D41A33">
      <w:pPr>
        <w:rPr>
          <w:rStyle w:val="ekvlsung"/>
        </w:rPr>
      </w:pPr>
      <w:r>
        <w:rPr>
          <w:rStyle w:val="ekvlsung"/>
        </w:rPr>
        <w:t>–</w:t>
      </w:r>
      <w:r>
        <w:rPr>
          <w:rStyle w:val="ekvlsung"/>
        </w:rPr>
        <w:tab/>
      </w:r>
      <w:r w:rsidR="00D41A33" w:rsidRPr="00D41A33">
        <w:rPr>
          <w:rStyle w:val="ekvlsung"/>
        </w:rPr>
        <w:t>Liberalisierung des Welthandels im Rahmen der WTO (1 VP)</w:t>
      </w:r>
    </w:p>
    <w:p w14:paraId="09A7C9E2" w14:textId="5B477AF5" w:rsidR="00D41A33" w:rsidRPr="00D41A33" w:rsidRDefault="00A80725" w:rsidP="00D41A33">
      <w:pPr>
        <w:rPr>
          <w:rStyle w:val="ekvlsung"/>
        </w:rPr>
      </w:pPr>
      <w:r>
        <w:rPr>
          <w:rStyle w:val="ekvlsung"/>
        </w:rPr>
        <w:t>–</w:t>
      </w:r>
      <w:r>
        <w:rPr>
          <w:rStyle w:val="ekvlsung"/>
        </w:rPr>
        <w:tab/>
      </w:r>
      <w:r w:rsidR="00D41A33" w:rsidRPr="00D41A33">
        <w:rPr>
          <w:rStyle w:val="ekvlsung"/>
        </w:rPr>
        <w:t>Einführung des Containers als Stückgut-Transportmittel (1VP)</w:t>
      </w:r>
    </w:p>
    <w:p w14:paraId="04F89648" w14:textId="6044FC9E" w:rsidR="00D41A33" w:rsidRPr="00D41A33" w:rsidRDefault="00A80725" w:rsidP="00D41A33">
      <w:pPr>
        <w:rPr>
          <w:rStyle w:val="ekvlsung"/>
        </w:rPr>
      </w:pPr>
      <w:r>
        <w:rPr>
          <w:rStyle w:val="ekvlsung"/>
        </w:rPr>
        <w:t>–</w:t>
      </w:r>
      <w:r>
        <w:rPr>
          <w:rStyle w:val="ekvlsung"/>
        </w:rPr>
        <w:tab/>
      </w:r>
      <w:r w:rsidR="00D41A33" w:rsidRPr="00D41A33">
        <w:rPr>
          <w:rStyle w:val="ekvlsung"/>
        </w:rPr>
        <w:t>Entstehung von Global Playern, also multinationalen Konzernen (1 VP)</w:t>
      </w:r>
    </w:p>
    <w:p w14:paraId="4DF67922" w14:textId="519C1DA7" w:rsidR="00540A83" w:rsidRPr="00D41A33" w:rsidRDefault="00A80725" w:rsidP="00D41A33">
      <w:pPr>
        <w:rPr>
          <w:rStyle w:val="ekvlsung"/>
        </w:rPr>
      </w:pPr>
      <w:r>
        <w:rPr>
          <w:rStyle w:val="ekvlsung"/>
        </w:rPr>
        <w:t>–</w:t>
      </w:r>
      <w:r>
        <w:rPr>
          <w:rStyle w:val="ekvlsung"/>
        </w:rPr>
        <w:tab/>
      </w:r>
      <w:r w:rsidR="00D41A33" w:rsidRPr="00D41A33">
        <w:rPr>
          <w:rStyle w:val="ekvlsung"/>
        </w:rPr>
        <w:t>Politische und wirtschaftliche Öffnung Chinas seit 1978 (1 VP)</w:t>
      </w:r>
    </w:p>
    <w:p w14:paraId="380540D5" w14:textId="648866A9" w:rsidR="00540A83" w:rsidRDefault="00540A83" w:rsidP="00C17BE6"/>
    <w:p w14:paraId="5FD7524F" w14:textId="1ED80DDE" w:rsidR="00540A83" w:rsidRDefault="00540A83">
      <w:pPr>
        <w:tabs>
          <w:tab w:val="clear" w:pos="340"/>
          <w:tab w:val="clear" w:pos="595"/>
          <w:tab w:val="clear" w:pos="851"/>
        </w:tabs>
        <w:spacing w:after="160" w:line="259" w:lineRule="auto"/>
      </w:pPr>
      <w:r>
        <w:br w:type="page"/>
      </w:r>
    </w:p>
    <w:bookmarkEnd w:id="0"/>
    <w:p w14:paraId="5A9A88B9" w14:textId="736804E5" w:rsidR="00D6076D" w:rsidRPr="00484B5B" w:rsidRDefault="00540A83" w:rsidP="00D6076D">
      <w:pPr>
        <w:pStyle w:val="ekvaufzhlung"/>
        <w:rPr>
          <w:rStyle w:val="ekvfett"/>
        </w:rPr>
      </w:pPr>
      <w:r w:rsidRPr="00540A83">
        <w:rPr>
          <w:rStyle w:val="ekvfett"/>
        </w:rPr>
        <w:lastRenderedPageBreak/>
        <w:t>b)</w:t>
      </w:r>
      <w:r>
        <w:rPr>
          <w:rStyle w:val="ekvfett"/>
        </w:rPr>
        <w:tab/>
      </w:r>
      <w:r w:rsidRPr="00540A83">
        <w:rPr>
          <w:rStyle w:val="ekvfett"/>
        </w:rPr>
        <w:t>Ich kann einige mobile Standortfaktoren ebenso nennen wie einige immobile Standortfaktoren.</w:t>
      </w:r>
      <w:r w:rsidR="00A80725">
        <w:rPr>
          <w:rStyle w:val="ekvfett"/>
        </w:rPr>
        <w:t xml:space="preserve"> </w:t>
      </w:r>
      <w:r w:rsidR="00A80725" w:rsidRPr="00A80725">
        <w:rPr>
          <w:rStyle w:val="ekvfett"/>
        </w:rPr>
        <w:t>(S.</w:t>
      </w:r>
      <w:r w:rsidR="00A80725">
        <w:rPr>
          <w:rStyle w:val="ekvfett"/>
        </w:rPr>
        <w:t> </w:t>
      </w:r>
      <w:r w:rsidR="00A80725" w:rsidRPr="00A80725">
        <w:rPr>
          <w:rStyle w:val="ekvfett"/>
        </w:rPr>
        <w:t>270</w:t>
      </w:r>
      <w:r w:rsidR="00A80725">
        <w:rPr>
          <w:rStyle w:val="ekvfett"/>
        </w:rPr>
        <w:t>–</w:t>
      </w:r>
      <w:r w:rsidR="00A80725" w:rsidRPr="00A80725">
        <w:rPr>
          <w:rStyle w:val="ekvfett"/>
        </w:rPr>
        <w:t>273)</w:t>
      </w:r>
    </w:p>
    <w:p w14:paraId="66C2D74B" w14:textId="77777777" w:rsidR="00484B5B" w:rsidRDefault="00484B5B" w:rsidP="00465612">
      <w:pPr>
        <w:pStyle w:val="ekvaufzhlung"/>
      </w:pPr>
    </w:p>
    <w:p w14:paraId="559835B1" w14:textId="21E83B0C" w:rsidR="00BF60A0" w:rsidRPr="00F140D4" w:rsidRDefault="00F140D4" w:rsidP="00465612">
      <w:pPr>
        <w:pStyle w:val="ekvaufzhlung"/>
      </w:pPr>
      <w:r w:rsidRPr="00F140D4">
        <w:rPr>
          <w:rStyle w:val="ekvnummerierung"/>
        </w:rPr>
        <w:t>2</w:t>
      </w:r>
      <w:r w:rsidRPr="00F140D4">
        <w:rPr>
          <w:rStyle w:val="ekvnummerierung"/>
        </w:rPr>
        <w:tab/>
      </w:r>
      <w:r w:rsidR="00540A83" w:rsidRPr="00540A83">
        <w:t>Neben mobilen und immobilen Standortfaktoren spricht man auch von „harten“ und „weichen“ Faktoren. Ordnen Sie aus der folgenden Abbildung jeweils drei harte und weiche Faktoren den mobilen bzw. immobilen zu (außer den in Aufgabe b) genannten).</w:t>
      </w:r>
      <w:r w:rsidR="00540A83" w:rsidRPr="00540A83">
        <w:tab/>
      </w:r>
      <w:r w:rsidR="00540A83" w:rsidRPr="00540A83">
        <w:rPr>
          <w:rStyle w:val="ekvgrau"/>
        </w:rPr>
        <w:t>(6 VP</w:t>
      </w:r>
      <w:r w:rsidR="00540A83">
        <w:rPr>
          <w:rStyle w:val="ekvgrau"/>
        </w:rPr>
        <w:t>.</w:t>
      </w:r>
      <w:r w:rsidR="00540A83" w:rsidRPr="00540A83">
        <w:rPr>
          <w:rStyle w:val="ekvgrau"/>
        </w:rPr>
        <w:t>)</w:t>
      </w:r>
    </w:p>
    <w:p w14:paraId="713055A1" w14:textId="3C98528C" w:rsidR="00096A09" w:rsidRDefault="00096A09" w:rsidP="00540A83">
      <w:pPr>
        <w:pStyle w:val="ekvgrundtexthalbe"/>
      </w:pPr>
    </w:p>
    <w:p w14:paraId="3AA38B25" w14:textId="068DD0F2" w:rsidR="00540A83" w:rsidRDefault="00A80725" w:rsidP="00540A83">
      <w:pPr>
        <w:pStyle w:val="ekvbild"/>
      </w:pPr>
      <w:r>
        <w:drawing>
          <wp:inline distT="0" distB="0" distL="0" distR="0" wp14:anchorId="09957F27" wp14:editId="473BA73A">
            <wp:extent cx="4526498" cy="2190509"/>
            <wp:effectExtent l="0" t="0" r="7620" b="635"/>
            <wp:docPr id="1" name="Grafik 1" descr="S613104133_077_Standortfaktoren.png"/>
            <wp:cNvGraphicFramePr/>
            <a:graphic xmlns:a="http://schemas.openxmlformats.org/drawingml/2006/main">
              <a:graphicData uri="http://schemas.openxmlformats.org/drawingml/2006/picture">
                <pic:pic xmlns:pic="http://schemas.openxmlformats.org/drawingml/2006/picture">
                  <pic:nvPicPr>
                    <pic:cNvPr id="1" name="Grafik 1" descr="S613104133_077_Standortfaktoren.png"/>
                    <pic:cNvPicPr/>
                  </pic:nvPicPr>
                  <pic:blipFill>
                    <a:blip r:embed="rId6">
                      <a:extLst>
                        <a:ext uri="{28A0092B-C50C-407E-A947-70E740481C1C}">
                          <a14:useLocalDpi xmlns:a14="http://schemas.microsoft.com/office/drawing/2010/main" val="0"/>
                        </a:ext>
                      </a:extLst>
                    </a:blip>
                    <a:stretch>
                      <a:fillRect/>
                    </a:stretch>
                  </pic:blipFill>
                  <pic:spPr>
                    <a:xfrm>
                      <a:off x="0" y="0"/>
                      <a:ext cx="4526498" cy="2190509"/>
                    </a:xfrm>
                    <a:prstGeom prst="rect">
                      <a:avLst/>
                    </a:prstGeom>
                  </pic:spPr>
                </pic:pic>
              </a:graphicData>
            </a:graphic>
          </wp:inline>
        </w:drawing>
      </w:r>
    </w:p>
    <w:p w14:paraId="525876A9" w14:textId="468E3A94" w:rsidR="00540A83" w:rsidRDefault="00751387" w:rsidP="00540A83">
      <w:pPr>
        <w:pStyle w:val="ekvbildlegende"/>
      </w:pPr>
      <w:r w:rsidRPr="00751387">
        <w:t>Modell der harten und weichen Standortfaktoren</w:t>
      </w:r>
    </w:p>
    <w:p w14:paraId="3C82E994" w14:textId="47806384" w:rsidR="00751387" w:rsidRPr="00751387" w:rsidRDefault="00751387" w:rsidP="00D41A33">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D41A33" w:rsidRPr="00D41A33" w14:paraId="51130065" w14:textId="77777777" w:rsidTr="00811B65">
        <w:trPr>
          <w:trHeight w:val="284"/>
        </w:trPr>
        <w:tc>
          <w:tcPr>
            <w:tcW w:w="4560" w:type="dxa"/>
            <w:tcBorders>
              <w:bottom w:val="single" w:sz="8" w:space="0" w:color="333333"/>
              <w:right w:val="single" w:sz="4" w:space="0" w:color="333333"/>
            </w:tcBorders>
            <w:shd w:val="clear" w:color="auto" w:fill="FFFFFF" w:themeFill="background1"/>
          </w:tcPr>
          <w:p w14:paraId="23768BAF" w14:textId="3D81D44A" w:rsidR="00D41A33" w:rsidRPr="00D41A33" w:rsidRDefault="00D41A33" w:rsidP="00AC4074">
            <w:pPr>
              <w:pStyle w:val="ekvtabelle"/>
              <w:rPr>
                <w:rStyle w:val="ekvlsung"/>
                <w:b/>
                <w:sz w:val="19"/>
                <w:szCs w:val="19"/>
              </w:rPr>
            </w:pPr>
            <w:r w:rsidRPr="00D41A33">
              <w:rPr>
                <w:rStyle w:val="ekvlsung"/>
                <w:b/>
                <w:sz w:val="19"/>
                <w:szCs w:val="19"/>
              </w:rPr>
              <w:t>immobil</w:t>
            </w:r>
          </w:p>
        </w:tc>
        <w:tc>
          <w:tcPr>
            <w:tcW w:w="4796" w:type="dxa"/>
            <w:tcBorders>
              <w:left w:val="single" w:sz="4" w:space="0" w:color="333333"/>
              <w:bottom w:val="single" w:sz="8" w:space="0" w:color="333333"/>
            </w:tcBorders>
            <w:shd w:val="clear" w:color="auto" w:fill="FFFFFF" w:themeFill="background1"/>
          </w:tcPr>
          <w:p w14:paraId="15D96C0E" w14:textId="1CBC8B55" w:rsidR="00D41A33" w:rsidRPr="00D41A33" w:rsidRDefault="00D41A33" w:rsidP="00D41A33">
            <w:pPr>
              <w:pStyle w:val="ekvtabellelinks"/>
              <w:rPr>
                <w:rStyle w:val="ekvlsung"/>
                <w:b/>
                <w:sz w:val="19"/>
                <w:szCs w:val="19"/>
              </w:rPr>
            </w:pPr>
            <w:r w:rsidRPr="00D41A33">
              <w:rPr>
                <w:rStyle w:val="ekvlsung"/>
                <w:b/>
                <w:sz w:val="19"/>
                <w:szCs w:val="19"/>
              </w:rPr>
              <w:t>mobil</w:t>
            </w:r>
          </w:p>
        </w:tc>
      </w:tr>
      <w:tr w:rsidR="00D41A33" w:rsidRPr="00D41A33" w14:paraId="316EC050" w14:textId="77777777" w:rsidTr="00811B65">
        <w:trPr>
          <w:trHeight w:val="284"/>
        </w:trPr>
        <w:tc>
          <w:tcPr>
            <w:tcW w:w="4560" w:type="dxa"/>
            <w:tcBorders>
              <w:top w:val="single" w:sz="8" w:space="0" w:color="333333"/>
              <w:bottom w:val="single" w:sz="4" w:space="0" w:color="333333"/>
              <w:right w:val="single" w:sz="4" w:space="0" w:color="333333"/>
            </w:tcBorders>
          </w:tcPr>
          <w:p w14:paraId="6102FC14" w14:textId="6EAA3395" w:rsidR="00D41A33" w:rsidRPr="00D41A33" w:rsidRDefault="00D41A33" w:rsidP="00AC4074">
            <w:pPr>
              <w:pStyle w:val="ekvtabelle"/>
              <w:rPr>
                <w:rStyle w:val="ekvlsung"/>
                <w:sz w:val="19"/>
                <w:szCs w:val="19"/>
              </w:rPr>
            </w:pPr>
            <w:r w:rsidRPr="00D41A33">
              <w:rPr>
                <w:rStyle w:val="ekvlsung"/>
                <w:sz w:val="19"/>
                <w:szCs w:val="19"/>
              </w:rPr>
              <w:t>regionaler Absatzmarkt (hart)</w:t>
            </w:r>
          </w:p>
        </w:tc>
        <w:tc>
          <w:tcPr>
            <w:tcW w:w="4796" w:type="dxa"/>
            <w:tcBorders>
              <w:top w:val="single" w:sz="8" w:space="0" w:color="333333"/>
              <w:left w:val="single" w:sz="4" w:space="0" w:color="333333"/>
              <w:bottom w:val="single" w:sz="4" w:space="0" w:color="333333"/>
            </w:tcBorders>
          </w:tcPr>
          <w:p w14:paraId="4A8D7FDB" w14:textId="425FC346" w:rsidR="00D41A33" w:rsidRPr="00D41A33" w:rsidRDefault="00D41A33" w:rsidP="00D41A33">
            <w:pPr>
              <w:pStyle w:val="ekvtabellelinks"/>
              <w:rPr>
                <w:rStyle w:val="ekvlsung"/>
                <w:sz w:val="19"/>
                <w:szCs w:val="19"/>
              </w:rPr>
            </w:pPr>
            <w:r w:rsidRPr="00D41A33">
              <w:rPr>
                <w:rStyle w:val="ekvlsung"/>
                <w:sz w:val="19"/>
                <w:szCs w:val="19"/>
              </w:rPr>
              <w:t>Verwaltungshandeln (hart)</w:t>
            </w:r>
          </w:p>
        </w:tc>
      </w:tr>
      <w:tr w:rsidR="00D41A33" w:rsidRPr="00D41A33" w14:paraId="589E0D79" w14:textId="77777777" w:rsidTr="00D41A33">
        <w:trPr>
          <w:trHeight w:val="284"/>
        </w:trPr>
        <w:tc>
          <w:tcPr>
            <w:tcW w:w="4560" w:type="dxa"/>
            <w:tcBorders>
              <w:top w:val="single" w:sz="4" w:space="0" w:color="333333"/>
              <w:bottom w:val="single" w:sz="4" w:space="0" w:color="333333"/>
              <w:right w:val="single" w:sz="4" w:space="0" w:color="333333"/>
            </w:tcBorders>
          </w:tcPr>
          <w:p w14:paraId="00D4890B" w14:textId="351BA445" w:rsidR="00D41A33" w:rsidRPr="00D41A33" w:rsidRDefault="00D41A33" w:rsidP="00AC4074">
            <w:pPr>
              <w:pStyle w:val="ekvtabelle"/>
              <w:rPr>
                <w:rStyle w:val="ekvlsung"/>
                <w:sz w:val="19"/>
                <w:szCs w:val="19"/>
              </w:rPr>
            </w:pPr>
            <w:r w:rsidRPr="00D41A33">
              <w:rPr>
                <w:rStyle w:val="ekvlsung"/>
                <w:sz w:val="19"/>
                <w:szCs w:val="19"/>
              </w:rPr>
              <w:t>Nähe zu Zulieferern (hart)</w:t>
            </w:r>
          </w:p>
        </w:tc>
        <w:tc>
          <w:tcPr>
            <w:tcW w:w="4796" w:type="dxa"/>
            <w:tcBorders>
              <w:top w:val="single" w:sz="4" w:space="0" w:color="333333"/>
              <w:left w:val="single" w:sz="4" w:space="0" w:color="333333"/>
              <w:bottom w:val="single" w:sz="4" w:space="0" w:color="333333"/>
            </w:tcBorders>
          </w:tcPr>
          <w:p w14:paraId="749A2583" w14:textId="586674F4" w:rsidR="00D41A33" w:rsidRPr="00D41A33" w:rsidRDefault="00D41A33" w:rsidP="00D41A33">
            <w:pPr>
              <w:pStyle w:val="ekvtabellelinks"/>
              <w:rPr>
                <w:rStyle w:val="ekvlsung"/>
                <w:sz w:val="19"/>
                <w:szCs w:val="19"/>
              </w:rPr>
            </w:pPr>
            <w:r w:rsidRPr="00D41A33">
              <w:rPr>
                <w:rStyle w:val="ekvlsung"/>
                <w:sz w:val="19"/>
                <w:szCs w:val="19"/>
              </w:rPr>
              <w:t>Mentalität der Bevölkerung (weich)</w:t>
            </w:r>
          </w:p>
        </w:tc>
      </w:tr>
      <w:tr w:rsidR="00D41A33" w:rsidRPr="00D41A33" w14:paraId="181E1189" w14:textId="77777777" w:rsidTr="00811B65">
        <w:trPr>
          <w:trHeight w:val="284"/>
        </w:trPr>
        <w:tc>
          <w:tcPr>
            <w:tcW w:w="4560" w:type="dxa"/>
            <w:tcBorders>
              <w:top w:val="single" w:sz="4" w:space="0" w:color="333333"/>
              <w:right w:val="single" w:sz="4" w:space="0" w:color="333333"/>
            </w:tcBorders>
          </w:tcPr>
          <w:p w14:paraId="5206CA48" w14:textId="5BD0B2F9" w:rsidR="00D41A33" w:rsidRPr="00D41A33" w:rsidRDefault="00D41A33" w:rsidP="00AC4074">
            <w:pPr>
              <w:pStyle w:val="ekvtabelle"/>
              <w:rPr>
                <w:rStyle w:val="ekvlsung"/>
                <w:sz w:val="19"/>
                <w:szCs w:val="19"/>
              </w:rPr>
            </w:pPr>
            <w:r w:rsidRPr="00D41A33">
              <w:rPr>
                <w:rStyle w:val="ekvlsung"/>
                <w:sz w:val="19"/>
                <w:szCs w:val="19"/>
              </w:rPr>
              <w:t>Kultur- und Bildungseinrichtungen (weich)</w:t>
            </w:r>
          </w:p>
        </w:tc>
        <w:tc>
          <w:tcPr>
            <w:tcW w:w="4796" w:type="dxa"/>
            <w:tcBorders>
              <w:top w:val="single" w:sz="4" w:space="0" w:color="333333"/>
              <w:left w:val="single" w:sz="4" w:space="0" w:color="333333"/>
            </w:tcBorders>
          </w:tcPr>
          <w:p w14:paraId="698B17D4" w14:textId="537BBEFF" w:rsidR="00D41A33" w:rsidRPr="00D41A33" w:rsidRDefault="00D41A33" w:rsidP="00D41A33">
            <w:pPr>
              <w:pStyle w:val="ekvtabellelinks"/>
              <w:rPr>
                <w:rStyle w:val="ekvlsung"/>
                <w:sz w:val="19"/>
                <w:szCs w:val="19"/>
              </w:rPr>
            </w:pPr>
            <w:r w:rsidRPr="00D41A33">
              <w:rPr>
                <w:rStyle w:val="ekvlsung"/>
                <w:sz w:val="19"/>
                <w:szCs w:val="19"/>
              </w:rPr>
              <w:t>soziales Klima (weich)</w:t>
            </w:r>
          </w:p>
        </w:tc>
      </w:tr>
    </w:tbl>
    <w:p w14:paraId="2C84A7DB" w14:textId="2EFAA294" w:rsidR="00751387" w:rsidRDefault="00751387" w:rsidP="00096A09"/>
    <w:p w14:paraId="603BC2EB" w14:textId="77777777" w:rsidR="00751387" w:rsidRDefault="00751387">
      <w:pPr>
        <w:tabs>
          <w:tab w:val="clear" w:pos="340"/>
          <w:tab w:val="clear" w:pos="595"/>
          <w:tab w:val="clear" w:pos="851"/>
        </w:tabs>
        <w:spacing w:after="160" w:line="259" w:lineRule="auto"/>
      </w:pPr>
      <w:r>
        <w:br w:type="page"/>
      </w:r>
    </w:p>
    <w:p w14:paraId="00B4A84F" w14:textId="41AB04E4" w:rsidR="00751387" w:rsidRDefault="00751387" w:rsidP="00751387">
      <w:pPr>
        <w:pStyle w:val="ekvaufzhlung"/>
        <w:rPr>
          <w:rStyle w:val="ekvfett"/>
        </w:rPr>
      </w:pPr>
      <w:r w:rsidRPr="00751387">
        <w:rPr>
          <w:rStyle w:val="ekvfett"/>
        </w:rPr>
        <w:lastRenderedPageBreak/>
        <w:t>e)</w:t>
      </w:r>
      <w:r>
        <w:rPr>
          <w:rStyle w:val="ekvfett"/>
        </w:rPr>
        <w:tab/>
      </w:r>
      <w:r w:rsidRPr="00751387">
        <w:rPr>
          <w:rStyle w:val="ekvfett"/>
        </w:rPr>
        <w:t>Ich kann die wirtschaftliche Situation ausgewählter ASEAN-Staaten vergleichen und dabei die starken regionalen Disparitäten erfassen.</w:t>
      </w:r>
      <w:r w:rsidR="00A80725">
        <w:rPr>
          <w:rStyle w:val="ekvfett"/>
        </w:rPr>
        <w:t xml:space="preserve"> </w:t>
      </w:r>
      <w:r w:rsidR="00A80725" w:rsidRPr="00A80725">
        <w:rPr>
          <w:rStyle w:val="ekvfett"/>
        </w:rPr>
        <w:t>(S. 274</w:t>
      </w:r>
      <w:r w:rsidR="00A80725">
        <w:rPr>
          <w:rStyle w:val="ekvfett"/>
        </w:rPr>
        <w:t>–</w:t>
      </w:r>
      <w:r w:rsidR="00A80725" w:rsidRPr="00A80725">
        <w:rPr>
          <w:rStyle w:val="ekvfett"/>
        </w:rPr>
        <w:t>277)</w:t>
      </w:r>
    </w:p>
    <w:p w14:paraId="6B9039DA" w14:textId="77777777" w:rsidR="00751387" w:rsidRPr="00751387" w:rsidRDefault="00751387" w:rsidP="00751387"/>
    <w:p w14:paraId="3DE0210D" w14:textId="356CA6AF" w:rsidR="00CA0DCE" w:rsidRDefault="00751387" w:rsidP="00751387">
      <w:pPr>
        <w:pStyle w:val="ekvaufzhlung"/>
        <w:rPr>
          <w:rStyle w:val="ekvgrau"/>
        </w:rPr>
      </w:pPr>
      <w:r w:rsidRPr="00127E08">
        <w:rPr>
          <w:rStyle w:val="ekvnummerierung"/>
        </w:rPr>
        <w:t>3</w:t>
      </w:r>
      <w:r>
        <w:tab/>
      </w:r>
      <w:r w:rsidRPr="00751387">
        <w:t>Vergleichen Sie die beiden Fotos unter dem Aspekt „regionale Disparitäten im ASEAN-Wirtschaftsbündnis“.</w:t>
      </w:r>
      <w:r>
        <w:tab/>
      </w:r>
      <w:r w:rsidRPr="00751387">
        <w:rPr>
          <w:rStyle w:val="ekvgrau"/>
        </w:rPr>
        <w:t>(5 VP</w:t>
      </w:r>
      <w:r>
        <w:rPr>
          <w:rStyle w:val="ekvgrau"/>
        </w:rPr>
        <w:t>.</w:t>
      </w:r>
      <w:r w:rsidRPr="00751387">
        <w:rPr>
          <w:rStyle w:val="ekvgrau"/>
        </w:rPr>
        <w:t>)</w:t>
      </w:r>
    </w:p>
    <w:p w14:paraId="24435AAC" w14:textId="77777777" w:rsidR="00127E08" w:rsidRPr="00751387" w:rsidRDefault="00127E08" w:rsidP="00127E08">
      <w:pPr>
        <w:pStyle w:val="ekvgrundtexthalbe"/>
        <w:rPr>
          <w:rStyle w:val="ekvgrau"/>
          <w:color w:val="auto"/>
          <w:szCs w:val="22"/>
        </w:rPr>
      </w:pPr>
    </w:p>
    <w:p w14:paraId="7C507385" w14:textId="77777777" w:rsidR="00127E08" w:rsidRDefault="00127E08" w:rsidP="00127E08">
      <w:pPr>
        <w:pStyle w:val="ekvgrundtexthalbe"/>
        <w:sectPr w:rsidR="00127E08" w:rsidSect="00840D27">
          <w:headerReference w:type="default" r:id="rId7"/>
          <w:footerReference w:type="default" r:id="rId8"/>
          <w:type w:val="continuous"/>
          <w:pgSz w:w="11906" w:h="16838" w:code="9"/>
          <w:pgMar w:top="454" w:right="1276" w:bottom="284" w:left="1276" w:header="454" w:footer="454" w:gutter="0"/>
          <w:cols w:space="720"/>
          <w:docGrid w:linePitch="360"/>
        </w:sectPr>
      </w:pPr>
    </w:p>
    <w:p w14:paraId="23E0F951" w14:textId="00E3A949" w:rsidR="00D0196D" w:rsidRDefault="00127E08" w:rsidP="00127E08">
      <w:pPr>
        <w:pStyle w:val="ekvbild"/>
      </w:pPr>
      <w:r>
        <w:rPr>
          <w:lang w:eastAsia="de-DE"/>
        </w:rPr>
        <w:drawing>
          <wp:inline distT="0" distB="0" distL="0" distR="0" wp14:anchorId="38E2064C" wp14:editId="52AB5DC8">
            <wp:extent cx="2879725" cy="2118241"/>
            <wp:effectExtent l="0" t="0" r="0" b="0"/>
            <wp:docPr id="8" name="Bild 7" descr="Singapur, Singapur, Orchard Road. ION Orchard Mall, in der shopping Viertel  der Orchard Road Stockfotografie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gapur, Singapur, Orchard Road. ION Orchard Mall, in der shopping Viertel  der Orchard Road Stockfotografie - Alamy"/>
                    <pic:cNvPicPr>
                      <a:picLocks noChangeAspect="1" noChangeArrowheads="1"/>
                    </pic:cNvPicPr>
                  </pic:nvPicPr>
                  <pic:blipFill>
                    <a:blip r:embed="rId9"/>
                    <a:srcRect/>
                    <a:stretch>
                      <a:fillRect/>
                    </a:stretch>
                  </pic:blipFill>
                  <pic:spPr bwMode="auto">
                    <a:xfrm>
                      <a:off x="0" y="0"/>
                      <a:ext cx="2879725" cy="2118241"/>
                    </a:xfrm>
                    <a:prstGeom prst="rect">
                      <a:avLst/>
                    </a:prstGeom>
                    <a:noFill/>
                    <a:ln w="9525">
                      <a:noFill/>
                      <a:miter lim="800000"/>
                      <a:headEnd/>
                      <a:tailEnd/>
                    </a:ln>
                  </pic:spPr>
                </pic:pic>
              </a:graphicData>
            </a:graphic>
          </wp:inline>
        </w:drawing>
      </w:r>
    </w:p>
    <w:p w14:paraId="219B9BBA" w14:textId="01A7CF6B" w:rsidR="00127E08" w:rsidRDefault="00127E08" w:rsidP="00127E08">
      <w:pPr>
        <w:pStyle w:val="ekvbildlegende"/>
      </w:pPr>
      <w:r w:rsidRPr="00127E08">
        <w:rPr>
          <w:b/>
        </w:rPr>
        <w:t>A</w:t>
      </w:r>
      <w:r>
        <w:tab/>
      </w:r>
      <w:r w:rsidRPr="00127E08">
        <w:t>ION Orchard Mall in der Orchard Road, einer der Hauptgeschäftsstraßen in Singapur</w:t>
      </w:r>
    </w:p>
    <w:p w14:paraId="08FC10F2" w14:textId="0078397C" w:rsidR="00127E08" w:rsidRDefault="00127E08" w:rsidP="00127E08">
      <w:pPr>
        <w:pStyle w:val="ekvbild"/>
      </w:pPr>
      <w:r>
        <w:br w:type="column"/>
      </w:r>
      <w:r>
        <w:rPr>
          <w:lang w:eastAsia="de-DE"/>
        </w:rPr>
        <w:drawing>
          <wp:inline distT="0" distB="0" distL="0" distR="0" wp14:anchorId="1F420AF0" wp14:editId="692B4F3B">
            <wp:extent cx="2879725" cy="2117983"/>
            <wp:effectExtent l="0" t="0" r="0" b="0"/>
            <wp:docPr id="9" name="Bild 4" descr="Geschäfte und Restaurants an der Hauptstraße Sisavangvong Road, Luang  Prabang, Laos Stockfotografie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schäfte und Restaurants an der Hauptstraße Sisavangvong Road, Luang  Prabang, Laos Stockfotografie - Alamy"/>
                    <pic:cNvPicPr>
                      <a:picLocks noChangeAspect="1" noChangeArrowheads="1"/>
                    </pic:cNvPicPr>
                  </pic:nvPicPr>
                  <pic:blipFill>
                    <a:blip r:embed="rId10"/>
                    <a:srcRect/>
                    <a:stretch>
                      <a:fillRect/>
                    </a:stretch>
                  </pic:blipFill>
                  <pic:spPr bwMode="auto">
                    <a:xfrm>
                      <a:off x="0" y="0"/>
                      <a:ext cx="2879725" cy="2117983"/>
                    </a:xfrm>
                    <a:prstGeom prst="rect">
                      <a:avLst/>
                    </a:prstGeom>
                    <a:noFill/>
                    <a:ln w="9525">
                      <a:noFill/>
                      <a:miter lim="800000"/>
                      <a:headEnd/>
                      <a:tailEnd/>
                    </a:ln>
                  </pic:spPr>
                </pic:pic>
              </a:graphicData>
            </a:graphic>
          </wp:inline>
        </w:drawing>
      </w:r>
    </w:p>
    <w:p w14:paraId="175F7690" w14:textId="521FD78F" w:rsidR="00127E08" w:rsidRDefault="00C84DF8" w:rsidP="00127E08">
      <w:pPr>
        <w:pStyle w:val="ekvbildlegende"/>
      </w:pPr>
      <w:r w:rsidRPr="00C84DF8">
        <w:rPr>
          <w:b/>
        </w:rPr>
        <w:t>B</w:t>
      </w:r>
      <w:r>
        <w:tab/>
      </w:r>
      <w:r w:rsidRPr="00C84DF8">
        <w:t>Hauptgeschäftsstraße Sisavangvong Road in Luang Prabang, zweitgrößte Stadt von Laos</w:t>
      </w:r>
    </w:p>
    <w:p w14:paraId="39CDAE49" w14:textId="77777777" w:rsidR="00127E08" w:rsidRDefault="00127E08" w:rsidP="00096A09">
      <w:pPr>
        <w:sectPr w:rsidR="00127E08" w:rsidSect="00127E08">
          <w:type w:val="continuous"/>
          <w:pgSz w:w="11906" w:h="16838" w:code="9"/>
          <w:pgMar w:top="454" w:right="1276" w:bottom="284" w:left="1276" w:header="454" w:footer="454" w:gutter="0"/>
          <w:cols w:num="2" w:space="283"/>
          <w:docGrid w:linePitch="360"/>
        </w:sectPr>
      </w:pPr>
    </w:p>
    <w:p w14:paraId="0DECDA73" w14:textId="399D7727" w:rsidR="00C84DF8" w:rsidRDefault="00C84DF8" w:rsidP="00D41A33">
      <w:pPr>
        <w:pStyle w:val="ekvgrundtexthalbe"/>
      </w:pPr>
    </w:p>
    <w:p w14:paraId="58F45ABC" w14:textId="77777777" w:rsidR="00D41A33" w:rsidRPr="00D41A33" w:rsidRDefault="00D41A33" w:rsidP="00D41A33">
      <w:pPr>
        <w:rPr>
          <w:rStyle w:val="ekvlsung"/>
        </w:rPr>
      </w:pPr>
      <w:r w:rsidRPr="00D41A33">
        <w:rPr>
          <w:rStyle w:val="ekvlsung"/>
        </w:rPr>
        <w:t>Bild A zeigt eine hochmoderne Einkaufsmall in einer der Hauptgeschäftsstraßen des Stadtstaates Singapur. Sie könnte genauso in jeder Metropole der hoch entwickelten Länder wie USA, Frankreich oder Deutschland stehen. Der Schriftzug auf dem Geschäft links des Eingangs gehört zu einem französischen Luxus-Unternehmen und verweist auf die hohe Qualität der Geschäfte in dieser Mall. Die ION Orchard Mall steht stellvertretend für den hohen Entwicklungsstand und das hohe BIP/Kopf (also die hohe Kaufkraft) Singapurs. (2 VP)</w:t>
      </w:r>
    </w:p>
    <w:p w14:paraId="3149CFBD" w14:textId="77777777" w:rsidR="00D41A33" w:rsidRPr="00D41A33" w:rsidRDefault="00D41A33" w:rsidP="00D41A33">
      <w:pPr>
        <w:rPr>
          <w:rStyle w:val="ekvlsung"/>
        </w:rPr>
      </w:pPr>
      <w:r w:rsidRPr="00D41A33">
        <w:rPr>
          <w:rStyle w:val="ekvlsung"/>
        </w:rPr>
        <w:t>In starkem Kontrast dazu steht die Hauptgeschäftsstraße in Luang Prabang, der zweitgrößten Stadt von Laos. Sie wird einerseits viel mehr unserer Vorstellung einer asiatischen Hauptstraße gerecht. Das liegt aber andererseits an der Einfachheit der Geschäfte in bescheidenen Häusern. Selbst der Straßenbelag macht den Unterschied zu Singapur deutlich. (2 VP)</w:t>
      </w:r>
    </w:p>
    <w:p w14:paraId="7356ABE1" w14:textId="77B35FA5" w:rsidR="00C84DF8" w:rsidRPr="00D41A33" w:rsidRDefault="00D41A33" w:rsidP="00D41A33">
      <w:pPr>
        <w:rPr>
          <w:rStyle w:val="ekvlsung"/>
        </w:rPr>
      </w:pPr>
      <w:r w:rsidRPr="00D41A33">
        <w:rPr>
          <w:rStyle w:val="ekvlsung"/>
        </w:rPr>
        <w:t>Die Fotos dokumentieren die regionalen Disparitäten innerhalb der ASEAN. In ihr reicht die Spanne vom hoch entwickelten Singapur als einem der reichsten Staaten der Erde bis hin zu Laos, das offenkundig zu den „Developing countries“ gehört, die wir Entwicklungsländer nennen. (1 VP)</w:t>
      </w:r>
    </w:p>
    <w:p w14:paraId="5279BD56" w14:textId="4197C666" w:rsidR="00CA0DCE" w:rsidRDefault="00CA0DCE" w:rsidP="00096A09"/>
    <w:p w14:paraId="6A4E2888" w14:textId="2F5F22A7" w:rsidR="00D0196D" w:rsidRPr="00D0196D" w:rsidRDefault="00D0196D" w:rsidP="00D0196D">
      <w:r w:rsidRPr="00D0196D">
        <w:br w:type="page"/>
      </w:r>
    </w:p>
    <w:p w14:paraId="5FCC1031" w14:textId="78A611D0" w:rsidR="00096A09" w:rsidRDefault="00096A09" w:rsidP="00096A09">
      <w:pPr>
        <w:pStyle w:val="ekvue3arial"/>
      </w:pPr>
      <w:r>
        <w:lastRenderedPageBreak/>
        <w:t>3.</w:t>
      </w:r>
      <w:r>
        <w:tab/>
        <w:t>Methodenkompetenz</w:t>
      </w:r>
    </w:p>
    <w:p w14:paraId="3296248F" w14:textId="2A3D1550" w:rsidR="00096A09" w:rsidRPr="00B94B81" w:rsidRDefault="00C84DF8" w:rsidP="00096A09">
      <w:pPr>
        <w:pStyle w:val="ekvaufzhlung"/>
        <w:rPr>
          <w:rStyle w:val="ekvfett"/>
        </w:rPr>
      </w:pPr>
      <w:r w:rsidRPr="00C84DF8">
        <w:rPr>
          <w:rStyle w:val="ekvfett"/>
        </w:rPr>
        <w:t>a)</w:t>
      </w:r>
      <w:r>
        <w:rPr>
          <w:rStyle w:val="ekvfett"/>
        </w:rPr>
        <w:tab/>
      </w:r>
      <w:r w:rsidRPr="00C84DF8">
        <w:rPr>
          <w:rStyle w:val="ekvfett"/>
        </w:rPr>
        <w:t>Ich kann eine Karikatur zum Globalisierungsprozess zielgerichtet beschreiben und die Aussageabsicht des Zeichners erläutern.</w:t>
      </w:r>
      <w:r w:rsidR="00A80725">
        <w:rPr>
          <w:rStyle w:val="ekvfett"/>
        </w:rPr>
        <w:t xml:space="preserve"> </w:t>
      </w:r>
      <w:r w:rsidR="00A80725" w:rsidRPr="00A80725">
        <w:rPr>
          <w:rStyle w:val="ekvfett"/>
        </w:rPr>
        <w:t>(S. 278)</w:t>
      </w:r>
    </w:p>
    <w:p w14:paraId="0773C358" w14:textId="77777777" w:rsidR="00096A09" w:rsidRDefault="00096A09" w:rsidP="00096A09"/>
    <w:p w14:paraId="7F831928" w14:textId="6E5548BC" w:rsidR="00096A09" w:rsidRPr="00FC700C" w:rsidRDefault="00FC700C" w:rsidP="00096A09">
      <w:pPr>
        <w:pStyle w:val="ekvaufzhlung"/>
      </w:pPr>
      <w:r w:rsidRPr="00FC700C">
        <w:rPr>
          <w:rStyle w:val="ekvnummerierung"/>
        </w:rPr>
        <w:t>1</w:t>
      </w:r>
      <w:r w:rsidRPr="00FC700C">
        <w:rPr>
          <w:rStyle w:val="ekvnummerierung"/>
        </w:rPr>
        <w:tab/>
      </w:r>
      <w:r w:rsidR="00C84DF8" w:rsidRPr="00C84DF8">
        <w:t>Interpretieren Sie die folgende Karikatur.</w:t>
      </w:r>
      <w:r w:rsidR="00C84DF8" w:rsidRPr="00C84DF8">
        <w:tab/>
      </w:r>
      <w:r w:rsidR="00C84DF8" w:rsidRPr="00C84DF8">
        <w:rPr>
          <w:rStyle w:val="ekvgrau"/>
        </w:rPr>
        <w:t>(4 VP</w:t>
      </w:r>
      <w:r w:rsidR="00C84DF8">
        <w:rPr>
          <w:rStyle w:val="ekvgrau"/>
        </w:rPr>
        <w:t>.</w:t>
      </w:r>
      <w:r w:rsidR="00C84DF8" w:rsidRPr="00C84DF8">
        <w:rPr>
          <w:rStyle w:val="ekvgrau"/>
        </w:rPr>
        <w:t>)</w:t>
      </w:r>
    </w:p>
    <w:p w14:paraId="68060306" w14:textId="318C2928" w:rsidR="00FC700C" w:rsidRDefault="00FC700C" w:rsidP="00FC700C">
      <w:pPr>
        <w:pStyle w:val="ekvgrundtexthalbe"/>
      </w:pPr>
    </w:p>
    <w:p w14:paraId="74885E45" w14:textId="1CEE76C8" w:rsidR="00FC700C" w:rsidRDefault="00C84DF8" w:rsidP="00C84DF8">
      <w:pPr>
        <w:pStyle w:val="ekvbild"/>
      </w:pPr>
      <w:r>
        <w:drawing>
          <wp:inline distT="0" distB="0" distL="0" distR="0" wp14:anchorId="5BB0D0E5" wp14:editId="08ACBB35">
            <wp:extent cx="5939790" cy="3787140"/>
            <wp:effectExtent l="0" t="0" r="3810" b="3810"/>
            <wp:docPr id="10" name="Grafik 10" descr="RO-!KHYS.png"/>
            <wp:cNvGraphicFramePr/>
            <a:graphic xmlns:a="http://schemas.openxmlformats.org/drawingml/2006/main">
              <a:graphicData uri="http://schemas.openxmlformats.org/drawingml/2006/picture">
                <pic:pic xmlns:pic="http://schemas.openxmlformats.org/drawingml/2006/picture">
                  <pic:nvPicPr>
                    <pic:cNvPr id="10" name="Grafik 10" descr="RO-!KHYS.png"/>
                    <pic:cNvPicPr/>
                  </pic:nvPicPr>
                  <pic:blipFill rotWithShape="1">
                    <a:blip r:embed="rId11" cstate="print">
                      <a:extLst>
                        <a:ext uri="{28A0092B-C50C-407E-A947-70E740481C1C}">
                          <a14:useLocalDpi xmlns:a14="http://schemas.microsoft.com/office/drawing/2010/main" val="0"/>
                        </a:ext>
                      </a:extLst>
                    </a:blip>
                    <a:srcRect t="6589" b="3686"/>
                    <a:stretch/>
                  </pic:blipFill>
                  <pic:spPr bwMode="auto">
                    <a:xfrm>
                      <a:off x="0" y="0"/>
                      <a:ext cx="5939790" cy="3787140"/>
                    </a:xfrm>
                    <a:prstGeom prst="rect">
                      <a:avLst/>
                    </a:prstGeom>
                    <a:ln>
                      <a:noFill/>
                    </a:ln>
                    <a:extLst>
                      <a:ext uri="{53640926-AAD7-44D8-BBD7-CCE9431645EC}">
                        <a14:shadowObscured xmlns:a14="http://schemas.microsoft.com/office/drawing/2010/main"/>
                      </a:ext>
                    </a:extLst>
                  </pic:spPr>
                </pic:pic>
              </a:graphicData>
            </a:graphic>
          </wp:inline>
        </w:drawing>
      </w:r>
    </w:p>
    <w:p w14:paraId="59D6A1D0" w14:textId="558AAA00" w:rsidR="00C84DF8" w:rsidRDefault="00C84DF8" w:rsidP="00C84DF8">
      <w:pPr>
        <w:pStyle w:val="ekvbildlegende"/>
      </w:pPr>
      <w:r w:rsidRPr="00C84DF8">
        <w:t>Globalisierung als Naturgesetz?</w:t>
      </w:r>
    </w:p>
    <w:p w14:paraId="37AC3832" w14:textId="5C6E7F41" w:rsidR="00C84DF8" w:rsidRPr="00C84DF8" w:rsidRDefault="00C84DF8" w:rsidP="00D41A33">
      <w:pPr>
        <w:pStyle w:val="ekvgrundtexthalbe"/>
      </w:pPr>
    </w:p>
    <w:p w14:paraId="7C202A73" w14:textId="15546D81" w:rsidR="00D41A33" w:rsidRPr="00D41A33" w:rsidRDefault="00D41A33" w:rsidP="00D41A33">
      <w:pPr>
        <w:rPr>
          <w:rStyle w:val="ekvlsung"/>
        </w:rPr>
      </w:pPr>
      <w:r w:rsidRPr="00D41A33">
        <w:rPr>
          <w:rStyle w:val="ekvlsung"/>
        </w:rPr>
        <w:t>In einem Physikfachraum sitzen Oberstufenschüler. Vor ihnen am Pult mit einer Art Versuchsaufbau steht der Lehrer und fragt nach den Naturgesetzen. Zwei Schüler geben die entsprechend naturwissenschaftlichen Antworten „Schwerkraft!“ und „Thermodynamik!“ Ein dritter Schüler jedoch antwortet überraschenderweise: „Globalisierung!!“</w:t>
      </w:r>
      <w:r w:rsidR="00A80725">
        <w:rPr>
          <w:rStyle w:val="ekvlsung"/>
        </w:rPr>
        <w:t xml:space="preserve"> </w:t>
      </w:r>
      <w:r w:rsidR="00A80725" w:rsidRPr="00A80725">
        <w:rPr>
          <w:rStyle w:val="ekvlsung"/>
        </w:rPr>
        <w:t>(2 VP)</w:t>
      </w:r>
    </w:p>
    <w:p w14:paraId="5A9A7688" w14:textId="747CA905" w:rsidR="00C84DF8" w:rsidRPr="00D41A33" w:rsidRDefault="00D41A33" w:rsidP="00D41A33">
      <w:pPr>
        <w:rPr>
          <w:rStyle w:val="ekvlsung"/>
        </w:rPr>
      </w:pPr>
      <w:r w:rsidRPr="00D41A33">
        <w:rPr>
          <w:rStyle w:val="ekvlsung"/>
        </w:rPr>
        <w:t>Hier wird also der Prozess der Globalisierung in die Nähe der Naturgesetze gerückt. Diese aber sind, wie der Name schon sagt, nicht vom Menschen gemacht, sondern unverrückbare Produkte natürlicher Vorgänge. Bedenkt man jedoch, dass ein wesentliches Merkmal jeder Karikatur die Ironie ist und dass Karikaturen die Aufgabe haben, zu kritisieren und bloßzustellen, so wird klar, dass hier das Gegenteil von dem gemeint ist,was dargestellt ist. Der Zeichner will verdeutlichen, dass Globalisierung kein unverrückbares Axiom ist, sondern von Menschen in Gang gesetzt wurde – und damit auch von Menschen beeinflusst und verändert werden kann.</w:t>
      </w:r>
      <w:r w:rsidR="00A80725">
        <w:rPr>
          <w:rStyle w:val="ekvlsung"/>
        </w:rPr>
        <w:t xml:space="preserve"> </w:t>
      </w:r>
      <w:r w:rsidR="00A80725" w:rsidRPr="00A80725">
        <w:rPr>
          <w:rStyle w:val="ekvlsung"/>
        </w:rPr>
        <w:t>(2 VP)</w:t>
      </w:r>
    </w:p>
    <w:p w14:paraId="1E02BD3A" w14:textId="7ED63799" w:rsidR="00840D27" w:rsidRPr="00840D27" w:rsidRDefault="00840D27" w:rsidP="00840D27">
      <w:r w:rsidRPr="00840D27">
        <w:br w:type="page"/>
      </w:r>
    </w:p>
    <w:p w14:paraId="07511752" w14:textId="77777777" w:rsidR="00096A09" w:rsidRDefault="00096A09" w:rsidP="00096A09">
      <w:pPr>
        <w:pStyle w:val="ekvue3arial"/>
      </w:pPr>
      <w:r>
        <w:lastRenderedPageBreak/>
        <w:t>4.</w:t>
      </w:r>
      <w:r>
        <w:tab/>
        <w:t>Urteilskompetenz</w:t>
      </w:r>
    </w:p>
    <w:p w14:paraId="4CF86B72" w14:textId="45DB4F51" w:rsidR="00096A09" w:rsidRPr="00B94B81" w:rsidRDefault="00C15E97" w:rsidP="00096A09">
      <w:pPr>
        <w:pStyle w:val="ekvaufzhlung"/>
        <w:rPr>
          <w:rStyle w:val="ekvfett"/>
        </w:rPr>
      </w:pPr>
      <w:r w:rsidRPr="00C15E97">
        <w:rPr>
          <w:rStyle w:val="ekvfett"/>
        </w:rPr>
        <w:t>a)</w:t>
      </w:r>
      <w:r>
        <w:rPr>
          <w:rStyle w:val="ekvfett"/>
        </w:rPr>
        <w:tab/>
      </w:r>
      <w:r w:rsidRPr="00C15E97">
        <w:rPr>
          <w:rStyle w:val="ekvfett"/>
        </w:rPr>
        <w:t>Ich kann zu der Aussage Stellung nehmen, ob die Handelsbeziehung der ASEAN zu China, Japan und Südkorea für das Bündnis eher eine Belastung als ein Gewinn sind.</w:t>
      </w:r>
      <w:r w:rsidR="00A80725">
        <w:rPr>
          <w:rStyle w:val="ekvfett"/>
        </w:rPr>
        <w:t xml:space="preserve"> </w:t>
      </w:r>
      <w:r w:rsidR="00A80725" w:rsidRPr="00A80725">
        <w:rPr>
          <w:rStyle w:val="ekvfett"/>
        </w:rPr>
        <w:t>(S. 274</w:t>
      </w:r>
      <w:r w:rsidR="00A80725">
        <w:rPr>
          <w:rStyle w:val="ekvfett"/>
        </w:rPr>
        <w:t>–</w:t>
      </w:r>
      <w:r w:rsidR="00A80725" w:rsidRPr="00A80725">
        <w:rPr>
          <w:rStyle w:val="ekvfett"/>
        </w:rPr>
        <w:t>277)</w:t>
      </w:r>
    </w:p>
    <w:p w14:paraId="16D8EDE6" w14:textId="77777777" w:rsidR="00096A09" w:rsidRDefault="00096A09" w:rsidP="00096A09">
      <w:pPr>
        <w:pStyle w:val="ekvaufzhlung"/>
      </w:pPr>
    </w:p>
    <w:p w14:paraId="54CF709E" w14:textId="4463DC58" w:rsidR="00C15E97" w:rsidRDefault="00840D27" w:rsidP="00C15E97">
      <w:pPr>
        <w:pStyle w:val="ekvaufzhlung"/>
      </w:pPr>
      <w:r w:rsidRPr="00840D27">
        <w:rPr>
          <w:rStyle w:val="ekvnummerierung"/>
        </w:rPr>
        <w:t>1</w:t>
      </w:r>
      <w:r w:rsidRPr="00840D27">
        <w:rPr>
          <w:rStyle w:val="ekvnummerierung"/>
        </w:rPr>
        <w:tab/>
      </w:r>
      <w:r w:rsidR="00C15E97">
        <w:t>a)</w:t>
      </w:r>
      <w:r w:rsidR="00C15E97">
        <w:tab/>
        <w:t>Beschreiben Sie die Länder-Exportstruktur des ASEAN-Bündnisses im Jahr 2020.</w:t>
      </w:r>
    </w:p>
    <w:p w14:paraId="5C89BD38" w14:textId="419F4B11" w:rsidR="00096A09" w:rsidRPr="00840D27" w:rsidRDefault="00C15E97" w:rsidP="00C15E97">
      <w:pPr>
        <w:pStyle w:val="ekvaufzhlung"/>
      </w:pPr>
      <w:r>
        <w:tab/>
        <w:t>b)</w:t>
      </w:r>
      <w:r>
        <w:tab/>
        <w:t>Beurteilen Sie die Chancen und Risiken dieser Struktur.</w:t>
      </w:r>
      <w:r>
        <w:tab/>
      </w:r>
      <w:r w:rsidRPr="00C15E97">
        <w:rPr>
          <w:rStyle w:val="ekvgrau"/>
        </w:rPr>
        <w:t>(5 VP</w:t>
      </w:r>
      <w:r>
        <w:rPr>
          <w:rStyle w:val="ekvgrau"/>
        </w:rPr>
        <w:t>.</w:t>
      </w:r>
      <w:r w:rsidRPr="00C15E97">
        <w:rPr>
          <w:rStyle w:val="ekvgrau"/>
        </w:rPr>
        <w:t>)</w:t>
      </w:r>
    </w:p>
    <w:p w14:paraId="040443F7" w14:textId="3734280F" w:rsidR="002D6193" w:rsidRDefault="002D6193" w:rsidP="0087610A">
      <w:pPr>
        <w:pStyle w:val="ekvgrundtexthalbe"/>
      </w:pPr>
    </w:p>
    <w:p w14:paraId="67FE3023" w14:textId="1646D8AF" w:rsidR="0087610A" w:rsidRDefault="00A80725" w:rsidP="0087610A">
      <w:pPr>
        <w:pStyle w:val="ekvbild"/>
      </w:pPr>
      <w:r>
        <w:rPr>
          <w:lang w:eastAsia="de-DE"/>
        </w:rPr>
        <w:drawing>
          <wp:inline distT="0" distB="0" distL="0" distR="0" wp14:anchorId="36F36D25" wp14:editId="33AEE76E">
            <wp:extent cx="4967094" cy="1907863"/>
            <wp:effectExtent l="0" t="0" r="5080" b="0"/>
            <wp:docPr id="4" name="Grafik 4" descr="S505ECG50258UAA99_Exportstruktur.png"/>
            <wp:cNvGraphicFramePr/>
            <a:graphic xmlns:a="http://schemas.openxmlformats.org/drawingml/2006/main">
              <a:graphicData uri="http://schemas.openxmlformats.org/drawingml/2006/picture">
                <pic:pic xmlns:pic="http://schemas.openxmlformats.org/drawingml/2006/picture">
                  <pic:nvPicPr>
                    <pic:cNvPr id="4" name="Grafik 4" descr="S505ECG50258UAA99_Exportstruktur.png"/>
                    <pic:cNvPicPr/>
                  </pic:nvPicPr>
                  <pic:blipFill>
                    <a:blip r:embed="rId12">
                      <a:extLst>
                        <a:ext uri="{28A0092B-C50C-407E-A947-70E740481C1C}">
                          <a14:useLocalDpi xmlns:a14="http://schemas.microsoft.com/office/drawing/2010/main" val="0"/>
                        </a:ext>
                      </a:extLst>
                    </a:blip>
                    <a:stretch>
                      <a:fillRect/>
                    </a:stretch>
                  </pic:blipFill>
                  <pic:spPr>
                    <a:xfrm>
                      <a:off x="0" y="0"/>
                      <a:ext cx="4967094" cy="1907863"/>
                    </a:xfrm>
                    <a:prstGeom prst="rect">
                      <a:avLst/>
                    </a:prstGeom>
                  </pic:spPr>
                </pic:pic>
              </a:graphicData>
            </a:graphic>
          </wp:inline>
        </w:drawing>
      </w:r>
    </w:p>
    <w:p w14:paraId="7C604CAD" w14:textId="7220C58C" w:rsidR="0087610A" w:rsidRDefault="0087610A" w:rsidP="0087610A">
      <w:pPr>
        <w:pStyle w:val="ekvbildlegende"/>
      </w:pPr>
      <w:r w:rsidRPr="0087610A">
        <w:t>Exportstruktur von ASEAN nach warenabnehmenden Ländern 2020</w:t>
      </w:r>
    </w:p>
    <w:p w14:paraId="2B5C7A66" w14:textId="2885B36A" w:rsidR="009449D2" w:rsidRPr="009449D2" w:rsidRDefault="009449D2" w:rsidP="00D41A33">
      <w:pPr>
        <w:pStyle w:val="ekvgrundtexthalbe"/>
      </w:pPr>
    </w:p>
    <w:p w14:paraId="6737367A" w14:textId="0CA15214" w:rsidR="00D41A33" w:rsidRPr="00D41A33" w:rsidRDefault="00D41A33" w:rsidP="00D41A33">
      <w:pPr>
        <w:rPr>
          <w:rStyle w:val="ekvlsung"/>
        </w:rPr>
      </w:pPr>
      <w:r w:rsidRPr="00D41A33">
        <w:rPr>
          <w:rStyle w:val="ekvlsung"/>
        </w:rPr>
        <w:t>a) Die Exportstruktur ist von der Dominanz der beiden wichtigsten Importeure von ASEAN-Waren gekennzeichnet, nämlich China und den USA. Mit 19,9</w:t>
      </w:r>
      <w:r w:rsidRPr="00D41A33">
        <w:rPr>
          <w:rStyle w:val="ekvlsung"/>
          <w:w w:val="50"/>
        </w:rPr>
        <w:t> </w:t>
      </w:r>
      <w:r w:rsidRPr="00D41A33">
        <w:rPr>
          <w:rStyle w:val="ekvlsung"/>
        </w:rPr>
        <w:t>% bzw. 19,3</w:t>
      </w:r>
      <w:r w:rsidRPr="00D41A33">
        <w:rPr>
          <w:rStyle w:val="ekvlsung"/>
          <w:w w:val="50"/>
        </w:rPr>
        <w:t> </w:t>
      </w:r>
      <w:r w:rsidRPr="00D41A33">
        <w:rPr>
          <w:rStyle w:val="ekvlsung"/>
        </w:rPr>
        <w:t>% Anteil liegen sie im Jahr 2020 nahezu gleichauf. Die folgenden Staaten befinden sich ebenfalls alle im asiatischen Raum, von Japan mit einem Anteil von 9,3</w:t>
      </w:r>
      <w:r w:rsidRPr="00D41A33">
        <w:rPr>
          <w:rStyle w:val="ekvlsung"/>
          <w:w w:val="50"/>
        </w:rPr>
        <w:t> </w:t>
      </w:r>
      <w:r w:rsidRPr="00D41A33">
        <w:rPr>
          <w:rStyle w:val="ekvlsung"/>
        </w:rPr>
        <w:t>% an den ASEAN-Exporten bis hin zu Indien mit 3,6</w:t>
      </w:r>
      <w:r w:rsidRPr="00D41A33">
        <w:rPr>
          <w:rStyle w:val="ekvlsung"/>
          <w:w w:val="50"/>
        </w:rPr>
        <w:t> </w:t>
      </w:r>
      <w:r w:rsidRPr="00D41A33">
        <w:rPr>
          <w:rStyle w:val="ekvlsung"/>
        </w:rPr>
        <w:t>%. Bemerkenswert sind auch die „Sonstigen“. Ihre Anteile liegen offensichtlich unter 3,5</w:t>
      </w:r>
      <w:r w:rsidRPr="00D41A33">
        <w:rPr>
          <w:rStyle w:val="ekvlsung"/>
          <w:w w:val="50"/>
        </w:rPr>
        <w:t> </w:t>
      </w:r>
      <w:r w:rsidRPr="00D41A33">
        <w:rPr>
          <w:rStyle w:val="ekvlsung"/>
        </w:rPr>
        <w:t>%, sind also relativ klein. Und zu ihnen werden vor allem Staaten in Europa gehören, die also im Einzelnen eine relativ geringe Rolle spielen. (2 VP)</w:t>
      </w:r>
    </w:p>
    <w:p w14:paraId="6C8792FF" w14:textId="77777777" w:rsidR="00D41A33" w:rsidRDefault="00D41A33" w:rsidP="00D41A33">
      <w:pPr>
        <w:pStyle w:val="ekvgrundtexthalbe"/>
        <w:rPr>
          <w:rStyle w:val="ekvlsung"/>
        </w:rPr>
      </w:pPr>
    </w:p>
    <w:p w14:paraId="4C31C58E" w14:textId="333C2325" w:rsidR="00D41A33" w:rsidRPr="00D41A33" w:rsidRDefault="00D41A33" w:rsidP="00D41A33">
      <w:pPr>
        <w:rPr>
          <w:rStyle w:val="ekvlsung"/>
        </w:rPr>
      </w:pPr>
      <w:r w:rsidRPr="00D41A33">
        <w:rPr>
          <w:rStyle w:val="ekvlsung"/>
        </w:rPr>
        <w:t>b) Die Verteilung nach Ländern birgt das eindeutige Risiko einer einseitigen Abhängigkeit. Fast 40</w:t>
      </w:r>
      <w:r w:rsidRPr="00D41A33">
        <w:rPr>
          <w:rStyle w:val="ekvlsung"/>
          <w:w w:val="50"/>
        </w:rPr>
        <w:t> </w:t>
      </w:r>
      <w:r w:rsidRPr="00D41A33">
        <w:rPr>
          <w:rStyle w:val="ekvlsung"/>
        </w:rPr>
        <w:t>% aller Exporte ASEANs gehen in nur zwei Staaten, China und USA. Man ist also z.</w:t>
      </w:r>
      <w:r w:rsidRPr="00D41A33">
        <w:rPr>
          <w:rStyle w:val="ekvlsung"/>
          <w:w w:val="50"/>
        </w:rPr>
        <w:t> </w:t>
      </w:r>
      <w:r w:rsidRPr="00D41A33">
        <w:rPr>
          <w:rStyle w:val="ekvlsung"/>
        </w:rPr>
        <w:t>B. auf eine positive ökonomische Entwicklung in diesen beiden Ländern angewiesen. Wirtschaftskrisen wie beispielsweise in Zeiten einer globalen Epidemie in diesen beiden Staaten können für die Exporteinnahmen der ASEAN schwerwiegende Folgen haben. Das betrifft im Übrigen auch die weiteren fünf asiatischen Abnehmer-Länder mit einem Anteil von zusammen fast 31</w:t>
      </w:r>
      <w:r w:rsidRPr="00D41A33">
        <w:rPr>
          <w:rStyle w:val="ekvlsung"/>
          <w:w w:val="50"/>
        </w:rPr>
        <w:t> </w:t>
      </w:r>
      <w:r w:rsidRPr="00D41A33">
        <w:rPr>
          <w:rStyle w:val="ekvlsung"/>
        </w:rPr>
        <w:t>% (2020). (2 VP)</w:t>
      </w:r>
    </w:p>
    <w:p w14:paraId="0A54C686" w14:textId="735602FF" w:rsidR="0087610A" w:rsidRPr="00D41A33" w:rsidRDefault="00D41A33" w:rsidP="00D41A33">
      <w:pPr>
        <w:rPr>
          <w:rStyle w:val="ekvlsung"/>
        </w:rPr>
      </w:pPr>
      <w:r w:rsidRPr="00D41A33">
        <w:rPr>
          <w:rStyle w:val="ekvlsung"/>
        </w:rPr>
        <w:t>Chancen zeigt die Grafik vor allem in einer zukünftigen Entwicklungsmöglichkeit. Um die Struktur zu diversifizieren und damit krisensicherer zu machen, wäre es sinnvoll, z.</w:t>
      </w:r>
      <w:r w:rsidRPr="00D41A33">
        <w:rPr>
          <w:rStyle w:val="ekvlsung"/>
          <w:w w:val="50"/>
        </w:rPr>
        <w:t> </w:t>
      </w:r>
      <w:r w:rsidRPr="00D41A33">
        <w:rPr>
          <w:rStyle w:val="ekvlsung"/>
        </w:rPr>
        <w:t>B. die Handelsbeziehungen zur EU bzw. zu einzelnen EU-Staaten zu intensivieren. Das könnte die Abhängigkeit von China und USA als Abnehmer verringern. (1 VP)</w:t>
      </w:r>
    </w:p>
    <w:p w14:paraId="464EDBA8" w14:textId="77777777" w:rsidR="00D41A33" w:rsidRDefault="00D41A33" w:rsidP="002D6193"/>
    <w:p w14:paraId="5E9CEE97" w14:textId="6EA0D7FB" w:rsidR="002D6193" w:rsidRPr="00840D27" w:rsidRDefault="002D6193" w:rsidP="002D6193">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9449D2">
        <w:rPr>
          <w:rStyle w:val="ekvgrau"/>
        </w:rPr>
        <w:t>29</w:t>
      </w:r>
      <w:r w:rsidRPr="002D6193">
        <w:rPr>
          <w:rStyle w:val="ekvgrau"/>
        </w:rPr>
        <w:t xml:space="preserve"> P.)</w:t>
      </w:r>
    </w:p>
    <w:sectPr w:rsidR="002D6193" w:rsidRPr="00840D27" w:rsidSect="00127E08">
      <w:type w:val="continuous"/>
      <w:pgSz w:w="11906" w:h="16838" w:code="9"/>
      <w:pgMar w:top="454" w:right="1276" w:bottom="284"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28BF" w14:textId="77777777" w:rsidR="00153171" w:rsidRDefault="00153171" w:rsidP="003C599D">
      <w:pPr>
        <w:spacing w:line="240" w:lineRule="auto"/>
      </w:pPr>
      <w:r>
        <w:separator/>
      </w:r>
    </w:p>
  </w:endnote>
  <w:endnote w:type="continuationSeparator" w:id="0">
    <w:p w14:paraId="55A3092F" w14:textId="77777777" w:rsidR="00153171" w:rsidRDefault="0015317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A80725" w:rsidRPr="00F42294" w14:paraId="525890E1" w14:textId="77777777" w:rsidTr="00BB50C3">
      <w:trPr>
        <w:trHeight w:hRule="exact" w:val="680"/>
      </w:trPr>
      <w:tc>
        <w:tcPr>
          <w:tcW w:w="864" w:type="dxa"/>
          <w:noWrap/>
        </w:tcPr>
        <w:p w14:paraId="2161C919" w14:textId="77777777" w:rsidR="00A80725" w:rsidRPr="00913892" w:rsidRDefault="00A80725" w:rsidP="005E4C30">
          <w:pPr>
            <w:pStyle w:val="ekvpaginabild"/>
            <w:jc w:val="both"/>
          </w:pPr>
          <w:bookmarkStart w:id="1"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68A0D781" w:rsidR="00A80725" w:rsidRPr="00913892" w:rsidRDefault="00A80725" w:rsidP="00554EDA">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2AA59124" w14:textId="77777777" w:rsidR="00A80725" w:rsidRDefault="00A80725" w:rsidP="00A80725">
          <w:pPr>
            <w:pStyle w:val="ekvpagina"/>
          </w:pPr>
          <w:r w:rsidRPr="00D6115B">
            <w:t>Programmbereich Gesellschaftswissenschaften</w:t>
          </w:r>
        </w:p>
        <w:p w14:paraId="4DED7B72" w14:textId="4729F190" w:rsidR="00A80725" w:rsidRDefault="00A80725" w:rsidP="00A80725">
          <w:pPr>
            <w:pStyle w:val="ekvpagina"/>
          </w:pPr>
          <w:r w:rsidRPr="00751387">
            <w:t>Autor:A</w:t>
          </w:r>
          <w:r>
            <w:t>.</w:t>
          </w:r>
          <w:r w:rsidRPr="00751387">
            <w:t xml:space="preserve"> Kreus</w:t>
          </w:r>
        </w:p>
        <w:p w14:paraId="76B67FFA" w14:textId="5E1891E4" w:rsidR="00A80725" w:rsidRPr="00913892" w:rsidRDefault="00A80725" w:rsidP="00AE6868">
          <w:pPr>
            <w:pStyle w:val="ekvpagina"/>
          </w:pPr>
          <w:r w:rsidRPr="00FC700C">
            <w:t xml:space="preserve">Abbildungsnachweis: </w:t>
          </w:r>
          <w:r w:rsidR="00AE6868">
            <w:t>Eckenfelder, Bettina, Eisenach; Ernst Klett Verlag GmbH, Stuttgart;</w:t>
          </w:r>
          <w:r w:rsidR="00AE6868">
            <w:t xml:space="preserve"> </w:t>
          </w:r>
          <w:r w:rsidR="00AE6868">
            <w:t>(Shopping-Mall) Alamy Stock Photo, Abingdon, Oxon (Andrew Watson); (Straße) Alamy Stock Photo, Abingdon, Oxon (Yadid Levy); Thomas Plaßmann, Essen;</w:t>
          </w:r>
          <w:r w:rsidR="00AE6868">
            <w:t xml:space="preserve"> </w:t>
          </w:r>
        </w:p>
      </w:tc>
    </w:tr>
    <w:bookmarkEnd w:id="1"/>
  </w:tbl>
  <w:p w14:paraId="2ABAF9B5"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9D45" w14:textId="77777777" w:rsidR="00153171" w:rsidRDefault="00153171" w:rsidP="003C599D">
      <w:pPr>
        <w:spacing w:line="240" w:lineRule="auto"/>
      </w:pPr>
      <w:r>
        <w:separator/>
      </w:r>
    </w:p>
  </w:footnote>
  <w:footnote w:type="continuationSeparator" w:id="0">
    <w:p w14:paraId="51B89046" w14:textId="77777777" w:rsidR="00153171" w:rsidRDefault="00153171"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140D4" w:rsidRPr="00C172AE" w14:paraId="4B8FB1D1" w14:textId="77777777" w:rsidTr="006975EF">
      <w:trPr>
        <w:trHeight w:hRule="exact" w:val="510"/>
      </w:trPr>
      <w:tc>
        <w:tcPr>
          <w:tcW w:w="818" w:type="dxa"/>
          <w:tcBorders>
            <w:top w:val="nil"/>
            <w:bottom w:val="nil"/>
            <w:right w:val="nil"/>
          </w:tcBorders>
          <w:noWrap/>
          <w:vAlign w:val="bottom"/>
        </w:tcPr>
        <w:p w14:paraId="35DE6F53" w14:textId="77777777" w:rsidR="00F140D4" w:rsidRPr="00AE65F6" w:rsidRDefault="00F140D4" w:rsidP="00F140D4">
          <w:pPr>
            <w:pageBreakBefore/>
            <w:rPr>
              <w:color w:val="FFFFFF" w:themeColor="background1"/>
            </w:rPr>
          </w:pPr>
        </w:p>
      </w:tc>
      <w:tc>
        <w:tcPr>
          <w:tcW w:w="3856" w:type="dxa"/>
          <w:tcBorders>
            <w:top w:val="nil"/>
            <w:left w:val="nil"/>
            <w:bottom w:val="nil"/>
            <w:right w:val="nil"/>
          </w:tcBorders>
          <w:noWrap/>
          <w:vAlign w:val="bottom"/>
        </w:tcPr>
        <w:p w14:paraId="31618EE8" w14:textId="77777777" w:rsidR="00F140D4" w:rsidRPr="007C1230" w:rsidRDefault="00F140D4" w:rsidP="00F140D4">
          <w:pPr>
            <w:pStyle w:val="ekvkolumnentitel"/>
          </w:pPr>
          <w:r w:rsidRPr="007C1230">
            <w:t>Name:</w:t>
          </w:r>
        </w:p>
      </w:tc>
      <w:tc>
        <w:tcPr>
          <w:tcW w:w="1321" w:type="dxa"/>
          <w:tcBorders>
            <w:top w:val="nil"/>
            <w:left w:val="nil"/>
            <w:bottom w:val="nil"/>
            <w:right w:val="nil"/>
          </w:tcBorders>
          <w:noWrap/>
          <w:vAlign w:val="bottom"/>
        </w:tcPr>
        <w:p w14:paraId="06B42643" w14:textId="77777777" w:rsidR="00F140D4" w:rsidRPr="007C1230" w:rsidRDefault="00F140D4" w:rsidP="00F140D4">
          <w:pPr>
            <w:pStyle w:val="ekvkolumnentitel"/>
          </w:pPr>
          <w:r w:rsidRPr="007C1230">
            <w:t>Klasse:</w:t>
          </w:r>
        </w:p>
      </w:tc>
      <w:tc>
        <w:tcPr>
          <w:tcW w:w="2041" w:type="dxa"/>
          <w:tcBorders>
            <w:top w:val="nil"/>
            <w:left w:val="nil"/>
            <w:bottom w:val="nil"/>
            <w:right w:val="nil"/>
          </w:tcBorders>
          <w:noWrap/>
          <w:vAlign w:val="bottom"/>
        </w:tcPr>
        <w:p w14:paraId="482C92DC" w14:textId="77777777" w:rsidR="00F140D4" w:rsidRPr="007C1230" w:rsidRDefault="00F140D4" w:rsidP="00F140D4">
          <w:pPr>
            <w:pStyle w:val="ekvkolumnentitel"/>
          </w:pPr>
          <w:r w:rsidRPr="007C1230">
            <w:t>Datum:</w:t>
          </w:r>
        </w:p>
      </w:tc>
      <w:tc>
        <w:tcPr>
          <w:tcW w:w="2081" w:type="dxa"/>
          <w:tcBorders>
            <w:top w:val="nil"/>
            <w:left w:val="nil"/>
            <w:bottom w:val="nil"/>
            <w:right w:val="nil"/>
          </w:tcBorders>
          <w:noWrap/>
          <w:vAlign w:val="bottom"/>
        </w:tcPr>
        <w:p w14:paraId="710AD670" w14:textId="08EDD0B2" w:rsidR="00F140D4" w:rsidRPr="007C1230" w:rsidRDefault="00F140D4" w:rsidP="00F140D4">
          <w:pPr>
            <w:pStyle w:val="ekvkvnummer"/>
          </w:pPr>
          <w:r>
            <w:t>KT</w:t>
          </w:r>
          <w:r w:rsidR="00076EAF">
            <w:t>-L</w:t>
          </w:r>
        </w:p>
      </w:tc>
      <w:tc>
        <w:tcPr>
          <w:tcW w:w="883" w:type="dxa"/>
          <w:tcBorders>
            <w:top w:val="nil"/>
            <w:left w:val="nil"/>
            <w:bottom w:val="nil"/>
          </w:tcBorders>
          <w:noWrap/>
          <w:vAlign w:val="bottom"/>
        </w:tcPr>
        <w:p w14:paraId="47D182B2" w14:textId="2464C2A2" w:rsidR="00F140D4" w:rsidRPr="007636A0" w:rsidRDefault="005D5324" w:rsidP="00F140D4">
          <w:pPr>
            <w:pStyle w:val="ekvkapitel"/>
            <w:rPr>
              <w:color w:val="FFFFFF" w:themeColor="background1"/>
            </w:rPr>
          </w:pPr>
          <w:r>
            <w:t>10</w:t>
          </w:r>
        </w:p>
      </w:tc>
    </w:tr>
    <w:tr w:rsidR="00F140D4" w:rsidRPr="00BF17F2" w14:paraId="4E465E60" w14:textId="77777777" w:rsidTr="006975E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A57FE2" w14:textId="77777777" w:rsidR="00F140D4" w:rsidRPr="00BF17F2" w:rsidRDefault="00F140D4" w:rsidP="00F140D4">
          <w:pPr>
            <w:rPr>
              <w:color w:val="FFFFFF" w:themeColor="background1"/>
            </w:rPr>
          </w:pPr>
        </w:p>
      </w:tc>
      <w:tc>
        <w:tcPr>
          <w:tcW w:w="10182" w:type="dxa"/>
          <w:gridSpan w:val="5"/>
          <w:tcBorders>
            <w:left w:val="nil"/>
            <w:bottom w:val="nil"/>
          </w:tcBorders>
          <w:noWrap/>
          <w:vAlign w:val="bottom"/>
        </w:tcPr>
        <w:p w14:paraId="0227DC98" w14:textId="77777777" w:rsidR="00F140D4" w:rsidRPr="00BF17F2" w:rsidRDefault="00F140D4" w:rsidP="00F140D4">
          <w:pPr>
            <w:rPr>
              <w:color w:val="FFFFFF" w:themeColor="background1"/>
            </w:rPr>
          </w:pPr>
        </w:p>
      </w:tc>
    </w:tr>
  </w:tbl>
  <w:p w14:paraId="1676C92F" w14:textId="7F66671B" w:rsidR="003E226B" w:rsidRDefault="003E226B">
    <w:pPr>
      <w:pStyle w:val="Kopfzeile"/>
    </w:pPr>
  </w:p>
  <w:p w14:paraId="6610DDEC"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6EAF"/>
    <w:rsid w:val="000779C3"/>
    <w:rsid w:val="000812E6"/>
    <w:rsid w:val="000831DE"/>
    <w:rsid w:val="00090AB2"/>
    <w:rsid w:val="000928AA"/>
    <w:rsid w:val="00092E87"/>
    <w:rsid w:val="000939F5"/>
    <w:rsid w:val="00094F01"/>
    <w:rsid w:val="00096A09"/>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27E08"/>
    <w:rsid w:val="00131417"/>
    <w:rsid w:val="00137DDD"/>
    <w:rsid w:val="00140765"/>
    <w:rsid w:val="00140B24"/>
    <w:rsid w:val="001524C9"/>
    <w:rsid w:val="00153171"/>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C71C3"/>
    <w:rsid w:val="002D41F4"/>
    <w:rsid w:val="002D6193"/>
    <w:rsid w:val="002D7B0C"/>
    <w:rsid w:val="002D7B42"/>
    <w:rsid w:val="002E163A"/>
    <w:rsid w:val="002E21C3"/>
    <w:rsid w:val="002F1328"/>
    <w:rsid w:val="002F1D62"/>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469AE"/>
    <w:rsid w:val="00454148"/>
    <w:rsid w:val="004621B3"/>
    <w:rsid w:val="0046364F"/>
    <w:rsid w:val="00465073"/>
    <w:rsid w:val="00465612"/>
    <w:rsid w:val="0047471A"/>
    <w:rsid w:val="00475402"/>
    <w:rsid w:val="00483A7A"/>
    <w:rsid w:val="00483D65"/>
    <w:rsid w:val="00484B5B"/>
    <w:rsid w:val="00486B3D"/>
    <w:rsid w:val="00490692"/>
    <w:rsid w:val="004925F2"/>
    <w:rsid w:val="004A5B15"/>
    <w:rsid w:val="004A66C3"/>
    <w:rsid w:val="004A66CF"/>
    <w:rsid w:val="004B2E86"/>
    <w:rsid w:val="004E3969"/>
    <w:rsid w:val="00501528"/>
    <w:rsid w:val="005069C1"/>
    <w:rsid w:val="00514229"/>
    <w:rsid w:val="005156EC"/>
    <w:rsid w:val="005168A4"/>
    <w:rsid w:val="0052117E"/>
    <w:rsid w:val="00521B91"/>
    <w:rsid w:val="005252D2"/>
    <w:rsid w:val="00530C92"/>
    <w:rsid w:val="00535AD8"/>
    <w:rsid w:val="00540A83"/>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5324"/>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4276"/>
    <w:rsid w:val="0064692C"/>
    <w:rsid w:val="00653F68"/>
    <w:rsid w:val="006802C4"/>
    <w:rsid w:val="00682844"/>
    <w:rsid w:val="0068429A"/>
    <w:rsid w:val="00685FDD"/>
    <w:rsid w:val="006912DC"/>
    <w:rsid w:val="00693676"/>
    <w:rsid w:val="006A5611"/>
    <w:rsid w:val="006A71DE"/>
    <w:rsid w:val="006A76D7"/>
    <w:rsid w:val="006A7BDB"/>
    <w:rsid w:val="006B1B02"/>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4EA1"/>
    <w:rsid w:val="00745BC6"/>
    <w:rsid w:val="00747C4A"/>
    <w:rsid w:val="007507F9"/>
    <w:rsid w:val="00751387"/>
    <w:rsid w:val="00751B0E"/>
    <w:rsid w:val="0075636B"/>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0D27"/>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10A"/>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345"/>
    <w:rsid w:val="0094260D"/>
    <w:rsid w:val="009449D2"/>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28BD"/>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0725"/>
    <w:rsid w:val="00A83EBE"/>
    <w:rsid w:val="00A8594A"/>
    <w:rsid w:val="00A8687B"/>
    <w:rsid w:val="00A92B79"/>
    <w:rsid w:val="00A9695B"/>
    <w:rsid w:val="00AA3E8B"/>
    <w:rsid w:val="00AA5A5A"/>
    <w:rsid w:val="00AB05CF"/>
    <w:rsid w:val="00AB0DA8"/>
    <w:rsid w:val="00AB18CA"/>
    <w:rsid w:val="00AB5327"/>
    <w:rsid w:val="00AB5466"/>
    <w:rsid w:val="00AB6AE5"/>
    <w:rsid w:val="00AB7619"/>
    <w:rsid w:val="00AC01E7"/>
    <w:rsid w:val="00AC4530"/>
    <w:rsid w:val="00AC7B89"/>
    <w:rsid w:val="00AD4D22"/>
    <w:rsid w:val="00AE2B1D"/>
    <w:rsid w:val="00AE65F6"/>
    <w:rsid w:val="00AE6868"/>
    <w:rsid w:val="00AF053E"/>
    <w:rsid w:val="00B00462"/>
    <w:rsid w:val="00B00587"/>
    <w:rsid w:val="00B039E8"/>
    <w:rsid w:val="00B05E65"/>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0266"/>
    <w:rsid w:val="00B7242A"/>
    <w:rsid w:val="00B8071F"/>
    <w:rsid w:val="00B8109A"/>
    <w:rsid w:val="00B82B4E"/>
    <w:rsid w:val="00B8420E"/>
    <w:rsid w:val="00B90CE1"/>
    <w:rsid w:val="00B94B81"/>
    <w:rsid w:val="00BA1A23"/>
    <w:rsid w:val="00BA2134"/>
    <w:rsid w:val="00BB2F2F"/>
    <w:rsid w:val="00BC2025"/>
    <w:rsid w:val="00BC2CD2"/>
    <w:rsid w:val="00BC6483"/>
    <w:rsid w:val="00BC69E3"/>
    <w:rsid w:val="00BC7335"/>
    <w:rsid w:val="00BD542D"/>
    <w:rsid w:val="00BD6E66"/>
    <w:rsid w:val="00BE1962"/>
    <w:rsid w:val="00BE4821"/>
    <w:rsid w:val="00BF17F2"/>
    <w:rsid w:val="00BF60A0"/>
    <w:rsid w:val="00C00404"/>
    <w:rsid w:val="00C00540"/>
    <w:rsid w:val="00C15E97"/>
    <w:rsid w:val="00C172AE"/>
    <w:rsid w:val="00C17BE6"/>
    <w:rsid w:val="00C343F5"/>
    <w:rsid w:val="00C40555"/>
    <w:rsid w:val="00C40D51"/>
    <w:rsid w:val="00C429A6"/>
    <w:rsid w:val="00C45D3B"/>
    <w:rsid w:val="00C46BF4"/>
    <w:rsid w:val="00C504F8"/>
    <w:rsid w:val="00C52804"/>
    <w:rsid w:val="00C52A99"/>
    <w:rsid w:val="00C52AB7"/>
    <w:rsid w:val="00C52B8A"/>
    <w:rsid w:val="00C61654"/>
    <w:rsid w:val="00C70F84"/>
    <w:rsid w:val="00C727B3"/>
    <w:rsid w:val="00C72BA2"/>
    <w:rsid w:val="00C84DF8"/>
    <w:rsid w:val="00C84E4C"/>
    <w:rsid w:val="00C87044"/>
    <w:rsid w:val="00C94D17"/>
    <w:rsid w:val="00CA0DCE"/>
    <w:rsid w:val="00CB17F5"/>
    <w:rsid w:val="00CB27C6"/>
    <w:rsid w:val="00CB463B"/>
    <w:rsid w:val="00CB5B82"/>
    <w:rsid w:val="00CB782D"/>
    <w:rsid w:val="00CC263E"/>
    <w:rsid w:val="00CC54E0"/>
    <w:rsid w:val="00CC65A8"/>
    <w:rsid w:val="00CC7DBB"/>
    <w:rsid w:val="00CD2014"/>
    <w:rsid w:val="00CD4219"/>
    <w:rsid w:val="00CD5490"/>
    <w:rsid w:val="00CD6369"/>
    <w:rsid w:val="00CE2A37"/>
    <w:rsid w:val="00CE3E54"/>
    <w:rsid w:val="00CE4C91"/>
    <w:rsid w:val="00CF2E1A"/>
    <w:rsid w:val="00CF6EC0"/>
    <w:rsid w:val="00CF715C"/>
    <w:rsid w:val="00D0196D"/>
    <w:rsid w:val="00D022EC"/>
    <w:rsid w:val="00D02B99"/>
    <w:rsid w:val="00D05217"/>
    <w:rsid w:val="00D06182"/>
    <w:rsid w:val="00D125BD"/>
    <w:rsid w:val="00D12661"/>
    <w:rsid w:val="00D14F61"/>
    <w:rsid w:val="00D1582D"/>
    <w:rsid w:val="00D2569D"/>
    <w:rsid w:val="00D27A1B"/>
    <w:rsid w:val="00D30806"/>
    <w:rsid w:val="00D34DC1"/>
    <w:rsid w:val="00D403F7"/>
    <w:rsid w:val="00D419C2"/>
    <w:rsid w:val="00D41A33"/>
    <w:rsid w:val="00D42356"/>
    <w:rsid w:val="00D559DE"/>
    <w:rsid w:val="00D56FEB"/>
    <w:rsid w:val="00D6076D"/>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255A"/>
    <w:rsid w:val="00DC30DA"/>
    <w:rsid w:val="00DE287B"/>
    <w:rsid w:val="00DE603B"/>
    <w:rsid w:val="00DF129D"/>
    <w:rsid w:val="00DF4371"/>
    <w:rsid w:val="00DF625F"/>
    <w:rsid w:val="00DF74DB"/>
    <w:rsid w:val="00E00C59"/>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C6997"/>
    <w:rsid w:val="00ED07FE"/>
    <w:rsid w:val="00EE049D"/>
    <w:rsid w:val="00EE2721"/>
    <w:rsid w:val="00EE2A0B"/>
    <w:rsid w:val="00EF6029"/>
    <w:rsid w:val="00F140D4"/>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3CE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00C"/>
    <w:rsid w:val="00FC7DBF"/>
    <w:rsid w:val="00FE4FE6"/>
    <w:rsid w:val="00FE5395"/>
    <w:rsid w:val="00FF07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942345"/>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paragraph" w:styleId="Beschriftung">
    <w:name w:val="caption"/>
    <w:basedOn w:val="Standard"/>
    <w:next w:val="Standard"/>
    <w:uiPriority w:val="35"/>
    <w:unhideWhenUsed/>
    <w:qFormat/>
    <w:rsid w:val="00FC700C"/>
    <w:pPr>
      <w:spacing w:after="200" w:line="240" w:lineRule="auto"/>
    </w:pPr>
    <w:rPr>
      <w:i/>
      <w:iCs/>
      <w:color w:val="44546A" w:themeColor="text2"/>
      <w:sz w:val="18"/>
      <w:szCs w:val="18"/>
    </w:rPr>
  </w:style>
  <w:style w:type="paragraph" w:styleId="Listenabsatz">
    <w:name w:val="List Paragraph"/>
    <w:basedOn w:val="Standard"/>
    <w:uiPriority w:val="9"/>
    <w:semiHidden/>
    <w:qFormat/>
    <w:rsid w:val="00A8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6</cp:revision>
  <cp:lastPrinted>2016-12-23T16:36:00Z</cp:lastPrinted>
  <dcterms:created xsi:type="dcterms:W3CDTF">2022-03-28T09:59:00Z</dcterms:created>
  <dcterms:modified xsi:type="dcterms:W3CDTF">2022-04-25T09:04:00Z</dcterms:modified>
</cp:coreProperties>
</file>