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E81EBD">
            <w:pPr>
              <w:pStyle w:val="ekvkvnummer"/>
            </w:pPr>
            <w:r w:rsidRPr="007C1230">
              <w:t xml:space="preserve">KV </w:t>
            </w:r>
            <w:r w:rsidR="005D2040">
              <w:t>02</w:t>
            </w:r>
          </w:p>
        </w:tc>
        <w:tc>
          <w:tcPr>
            <w:tcW w:w="883" w:type="dxa"/>
            <w:tcBorders>
              <w:top w:val="nil"/>
              <w:left w:val="nil"/>
              <w:bottom w:val="nil"/>
            </w:tcBorders>
            <w:noWrap/>
            <w:vAlign w:val="bottom"/>
          </w:tcPr>
          <w:p w:rsidR="002C5D15" w:rsidRPr="007636A0" w:rsidRDefault="001D787D" w:rsidP="009078CB">
            <w:pPr>
              <w:pStyle w:val="ekvkapitel"/>
              <w:rPr>
                <w:color w:val="FFFFFF" w:themeColor="background1"/>
              </w:rPr>
            </w:pPr>
            <w:r>
              <w:t>7</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5D2040" w:rsidRDefault="008E3A7A" w:rsidP="008E3A7A">
      <w:pPr>
        <w:pStyle w:val="ekvue2arial"/>
      </w:pPr>
      <w:bookmarkStart w:id="0" w:name="bmStart"/>
      <w:bookmarkEnd w:id="0"/>
      <w:r w:rsidRPr="008E3A7A">
        <w:t>Stabilitätsgesetz und Konjunkturzyklen</w:t>
      </w:r>
    </w:p>
    <w:p w:rsidR="00A02A25" w:rsidRPr="00046213" w:rsidRDefault="00A02A25" w:rsidP="00A02A25"/>
    <w:tbl>
      <w:tblPr>
        <w:tblW w:w="9298" w:type="dxa"/>
        <w:tblInd w:w="113" w:type="dxa"/>
        <w:tblLayout w:type="fixed"/>
        <w:tblCellMar>
          <w:left w:w="113" w:type="dxa"/>
          <w:right w:w="113" w:type="dxa"/>
        </w:tblCellMar>
        <w:tblLook w:val="01E0" w:firstRow="1" w:lastRow="1" w:firstColumn="1" w:lastColumn="1" w:noHBand="0" w:noVBand="0"/>
      </w:tblPr>
      <w:tblGrid>
        <w:gridCol w:w="565"/>
        <w:gridCol w:w="4083"/>
        <w:gridCol w:w="567"/>
        <w:gridCol w:w="4083"/>
      </w:tblGrid>
      <w:tr w:rsidR="00A02A25" w:rsidRPr="003C39DC" w:rsidTr="00486A3A">
        <w:trPr>
          <w:trHeight w:val="284"/>
        </w:trPr>
        <w:tc>
          <w:tcPr>
            <w:tcW w:w="565" w:type="dxa"/>
            <w:tcBorders>
              <w:bottom w:val="single" w:sz="8" w:space="0" w:color="333333"/>
              <w:right w:val="single" w:sz="4" w:space="0" w:color="333333"/>
            </w:tcBorders>
            <w:shd w:val="clear" w:color="auto" w:fill="FFFFFF" w:themeFill="background1"/>
          </w:tcPr>
          <w:p w:rsidR="00A02A25" w:rsidRPr="0081389B" w:rsidRDefault="00A02A25" w:rsidP="00A02A25">
            <w:pPr>
              <w:rPr>
                <w:rStyle w:val="ekvfett"/>
              </w:rPr>
            </w:pPr>
            <w:r w:rsidRPr="0048646A">
              <w:rPr>
                <w:rStyle w:val="ekvfett"/>
                <w:color w:val="FFFFFF" w:themeColor="background1"/>
                <w:highlight w:val="darkGray"/>
              </w:rPr>
              <w:t>M1</w:t>
            </w:r>
          </w:p>
        </w:tc>
        <w:tc>
          <w:tcPr>
            <w:tcW w:w="4083" w:type="dxa"/>
            <w:tcBorders>
              <w:bottom w:val="single" w:sz="8" w:space="0" w:color="333333"/>
              <w:right w:val="single" w:sz="4" w:space="0" w:color="auto"/>
            </w:tcBorders>
            <w:shd w:val="clear" w:color="auto" w:fill="FFFFFF" w:themeFill="background1"/>
          </w:tcPr>
          <w:p w:rsidR="00A02A25" w:rsidRPr="0081389B" w:rsidRDefault="00A02A25" w:rsidP="00A02A25">
            <w:pPr>
              <w:rPr>
                <w:rStyle w:val="ekvfett"/>
              </w:rPr>
            </w:pPr>
            <w:r>
              <w:rPr>
                <w:rStyle w:val="ekvfett"/>
              </w:rPr>
              <w:t>Stabilitätsgesetz</w:t>
            </w:r>
          </w:p>
        </w:tc>
        <w:tc>
          <w:tcPr>
            <w:tcW w:w="567" w:type="dxa"/>
            <w:tcBorders>
              <w:left w:val="single" w:sz="4" w:space="0" w:color="auto"/>
              <w:bottom w:val="single" w:sz="8" w:space="0" w:color="333333"/>
            </w:tcBorders>
            <w:shd w:val="clear" w:color="auto" w:fill="FFFFFF" w:themeFill="background1"/>
          </w:tcPr>
          <w:p w:rsidR="00A02A25" w:rsidRPr="0081389B" w:rsidRDefault="00A02A25" w:rsidP="00A02A25">
            <w:pPr>
              <w:rPr>
                <w:rStyle w:val="ekvfett"/>
              </w:rPr>
            </w:pPr>
            <w:r w:rsidRPr="0048646A">
              <w:rPr>
                <w:rStyle w:val="ekvfett"/>
                <w:color w:val="FFFFFF" w:themeColor="background1"/>
                <w:highlight w:val="darkGray"/>
              </w:rPr>
              <w:t>M</w:t>
            </w:r>
            <w:r>
              <w:rPr>
                <w:rStyle w:val="ekvfett"/>
                <w:color w:val="FFFFFF" w:themeColor="background1"/>
                <w:highlight w:val="darkGray"/>
              </w:rPr>
              <w:t>2</w:t>
            </w:r>
          </w:p>
        </w:tc>
        <w:tc>
          <w:tcPr>
            <w:tcW w:w="4082" w:type="dxa"/>
            <w:tcBorders>
              <w:left w:val="single" w:sz="4" w:space="0" w:color="auto"/>
              <w:bottom w:val="single" w:sz="8" w:space="0" w:color="333333"/>
            </w:tcBorders>
            <w:shd w:val="clear" w:color="auto" w:fill="FFFFFF" w:themeFill="background1"/>
          </w:tcPr>
          <w:p w:rsidR="00A02A25" w:rsidRPr="0081389B" w:rsidRDefault="00A02A25" w:rsidP="00A02A25">
            <w:pPr>
              <w:rPr>
                <w:rStyle w:val="ekvfett"/>
              </w:rPr>
            </w:pPr>
            <w:r>
              <w:rPr>
                <w:rStyle w:val="ekvfett"/>
              </w:rPr>
              <w:t>Umweltschutz vs. Wirtschaftswachstum</w:t>
            </w:r>
          </w:p>
        </w:tc>
      </w:tr>
      <w:tr w:rsidR="00A02A25" w:rsidRPr="003C39DC" w:rsidTr="00486A3A">
        <w:trPr>
          <w:trHeight w:val="284"/>
        </w:trPr>
        <w:tc>
          <w:tcPr>
            <w:tcW w:w="4648" w:type="dxa"/>
            <w:gridSpan w:val="2"/>
            <w:tcBorders>
              <w:bottom w:val="single" w:sz="8" w:space="0" w:color="333333"/>
              <w:right w:val="single" w:sz="4" w:space="0" w:color="auto"/>
            </w:tcBorders>
            <w:shd w:val="clear" w:color="auto" w:fill="FFFFFF" w:themeFill="background1"/>
          </w:tcPr>
          <w:p w:rsidR="00A02A25" w:rsidRDefault="00A02A25" w:rsidP="00A02A25">
            <w:pPr>
              <w:rPr>
                <w:lang w:eastAsia="de-DE"/>
              </w:rPr>
            </w:pPr>
          </w:p>
          <w:p w:rsidR="00A02A25" w:rsidRDefault="00A02A25" w:rsidP="00A02A25">
            <w:pPr>
              <w:rPr>
                <w:lang w:eastAsia="de-DE"/>
              </w:rPr>
            </w:pPr>
            <w:r>
              <w:rPr>
                <w:lang w:eastAsia="de-DE"/>
              </w:rPr>
              <w:t xml:space="preserve">Das Gesetz zur Förderung der Stabilität und des Wachstums der Wirtschaft (Stabilitätsgesetz) </w:t>
            </w:r>
          </w:p>
          <w:p w:rsidR="00A02A25" w:rsidRDefault="00A02A25" w:rsidP="00A02A25">
            <w:pPr>
              <w:rPr>
                <w:lang w:eastAsia="de-DE"/>
              </w:rPr>
            </w:pPr>
            <w:r>
              <w:rPr>
                <w:lang w:eastAsia="de-DE"/>
              </w:rPr>
              <w:t>von 1967 formuliert:</w:t>
            </w:r>
          </w:p>
          <w:p w:rsidR="00A02A25" w:rsidRDefault="00A02A25" w:rsidP="00A02A25">
            <w:pPr>
              <w:rPr>
                <w:lang w:eastAsia="de-DE"/>
              </w:rPr>
            </w:pPr>
          </w:p>
          <w:p w:rsidR="00A02A25" w:rsidRPr="00AE2034" w:rsidRDefault="00A02A25" w:rsidP="00A02A25">
            <w:pPr>
              <w:rPr>
                <w:rStyle w:val="ekvkursiv"/>
              </w:rPr>
            </w:pPr>
            <w:r w:rsidRPr="00AE2034">
              <w:rPr>
                <w:rStyle w:val="ekvkursiv"/>
                <w:lang w:eastAsia="de-DE"/>
              </w:rPr>
              <w:t>§ 1</w:t>
            </w:r>
            <w:r w:rsidRPr="00AE2034">
              <w:rPr>
                <w:rStyle w:val="ekvkursiv"/>
                <w:lang w:eastAsia="de-DE"/>
              </w:rPr>
              <w:tab/>
              <w:t>Bund und Länder haben bei ihren wirtschafts- und finanzpolitischen Maßnahmen die Erfordernisse des gesamtwirtschaftlichen Gleichgewichts zu beachten. Die Maßnahmen sind so zu treffen, dass sie im Rahmen der marktwirtschaftlichen Ordnung gleichzeitig zur Stabilität des Preisniveaus, zu einem hohen Beschäftigungsstand und außenwirtschaftlichem Gleichgewicht bei stetigem und angemessenem Wirtschaftswachstum beitragen.</w:t>
            </w:r>
          </w:p>
          <w:p w:rsidR="00A02A25" w:rsidRPr="00270808" w:rsidRDefault="00A02A25" w:rsidP="00D500D6">
            <w:pPr>
              <w:pStyle w:val="ekvgrundtexthalbe"/>
              <w:rPr>
                <w:rStyle w:val="ekvfett"/>
                <w:b w:val="0"/>
              </w:rPr>
            </w:pPr>
          </w:p>
        </w:tc>
        <w:tc>
          <w:tcPr>
            <w:tcW w:w="4650" w:type="dxa"/>
            <w:gridSpan w:val="2"/>
            <w:tcBorders>
              <w:left w:val="single" w:sz="4" w:space="0" w:color="auto"/>
              <w:bottom w:val="single" w:sz="8" w:space="0" w:color="333333"/>
            </w:tcBorders>
            <w:shd w:val="clear" w:color="auto" w:fill="FFFFFF" w:themeFill="background1"/>
          </w:tcPr>
          <w:p w:rsidR="00A02A25" w:rsidRDefault="00A02A25" w:rsidP="00A02A25">
            <w:pPr>
              <w:rPr>
                <w:b/>
                <w:lang w:eastAsia="de-DE"/>
              </w:rPr>
            </w:pPr>
          </w:p>
          <w:p w:rsidR="00A02A25" w:rsidRPr="00046213" w:rsidRDefault="00A02A25" w:rsidP="00A02A25">
            <w:pPr>
              <w:pStyle w:val="ekvbild"/>
              <w:rPr>
                <w:rStyle w:val="ekvfett"/>
                <w:b w:val="0"/>
                <w:lang w:eastAsia="de-DE"/>
              </w:rPr>
            </w:pPr>
            <w:r>
              <w:rPr>
                <w:b/>
                <w:lang w:eastAsia="de-DE"/>
              </w:rPr>
              <w:drawing>
                <wp:inline distT="0" distB="0" distL="0" distR="0" wp14:anchorId="182D80EE" wp14:editId="24B7FB63">
                  <wp:extent cx="2714304"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elt_vs_Wachstum.png"/>
                          <pic:cNvPicPr/>
                        </pic:nvPicPr>
                        <pic:blipFill>
                          <a:blip r:embed="rId7">
                            <a:extLst>
                              <a:ext uri="{28A0092B-C50C-407E-A947-70E740481C1C}">
                                <a14:useLocalDpi xmlns:a14="http://schemas.microsoft.com/office/drawing/2010/main" val="0"/>
                              </a:ext>
                            </a:extLst>
                          </a:blip>
                          <a:stretch>
                            <a:fillRect/>
                          </a:stretch>
                        </pic:blipFill>
                        <pic:spPr>
                          <a:xfrm>
                            <a:off x="0" y="0"/>
                            <a:ext cx="2714304" cy="1917700"/>
                          </a:xfrm>
                          <a:prstGeom prst="rect">
                            <a:avLst/>
                          </a:prstGeom>
                        </pic:spPr>
                      </pic:pic>
                    </a:graphicData>
                  </a:graphic>
                </wp:inline>
              </w:drawing>
            </w:r>
          </w:p>
        </w:tc>
      </w:tr>
    </w:tbl>
    <w:p w:rsidR="00A02A25" w:rsidRDefault="00A02A25" w:rsidP="00A02A25"/>
    <w:p w:rsidR="00A02A25" w:rsidRDefault="00A02A25" w:rsidP="00A02A25"/>
    <w:tbl>
      <w:tblPr>
        <w:tblW w:w="9354" w:type="dxa"/>
        <w:tblLayout w:type="fixed"/>
        <w:tblCellMar>
          <w:left w:w="0" w:type="dxa"/>
          <w:right w:w="0" w:type="dxa"/>
        </w:tblCellMar>
        <w:tblLook w:val="01E0" w:firstRow="1" w:lastRow="1" w:firstColumn="1" w:lastColumn="1" w:noHBand="0" w:noVBand="0"/>
      </w:tblPr>
      <w:tblGrid>
        <w:gridCol w:w="8617"/>
        <w:gridCol w:w="737"/>
      </w:tblGrid>
      <w:tr w:rsidR="00A02A25" w:rsidRPr="00755C1B" w:rsidTr="00A02A25">
        <w:trPr>
          <w:trHeight w:val="284"/>
        </w:trPr>
        <w:tc>
          <w:tcPr>
            <w:tcW w:w="8617" w:type="dxa"/>
            <w:tcBorders>
              <w:bottom w:val="single" w:sz="8" w:space="0" w:color="333333"/>
              <w:right w:val="single" w:sz="4" w:space="0" w:color="333333"/>
            </w:tcBorders>
            <w:shd w:val="clear" w:color="auto" w:fill="FFFFFF" w:themeFill="background1"/>
          </w:tcPr>
          <w:p w:rsidR="00A02A25" w:rsidRDefault="00A02A25" w:rsidP="00A02A25">
            <w:pPr>
              <w:pStyle w:val="ekvaufzhlung"/>
            </w:pPr>
            <w:r w:rsidRPr="001A3887">
              <w:rPr>
                <w:rStyle w:val="ekvfett"/>
              </w:rPr>
              <w:t>1.</w:t>
            </w:r>
            <w:r>
              <w:tab/>
              <w:t xml:space="preserve">Die Ziele des Stabilitätsgesetzes werden auch als „magisches Viereck“ bezeichnet, weil die darin genannten Ziele schwer vereinbar sind. Weisen Sie anhand der Ziele </w:t>
            </w:r>
            <w:r w:rsidRPr="00755C1B">
              <w:rPr>
                <w:rStyle w:val="ekvkursiv"/>
              </w:rPr>
              <w:t>Wirtschaftswachstum</w:t>
            </w:r>
            <w:r>
              <w:t xml:space="preserve"> und </w:t>
            </w:r>
            <w:r w:rsidRPr="00755C1B">
              <w:rPr>
                <w:rStyle w:val="ekvkursiv"/>
              </w:rPr>
              <w:t>Preisstabilität</w:t>
            </w:r>
            <w:r>
              <w:t xml:space="preserve"> den Zielkonflikt nach.</w:t>
            </w:r>
          </w:p>
          <w:p w:rsidR="00A02A25" w:rsidRDefault="00A02A25" w:rsidP="00A02A25">
            <w:pPr>
              <w:pStyle w:val="ekvaufzhlung"/>
            </w:pPr>
          </w:p>
          <w:p w:rsidR="00A02A25" w:rsidRDefault="00A02A25" w:rsidP="00A02A25">
            <w:pPr>
              <w:pStyle w:val="ekvaufzhlung"/>
            </w:pPr>
            <w:r w:rsidRPr="00755C1B">
              <w:rPr>
                <w:rStyle w:val="ekvfett"/>
              </w:rPr>
              <w:t>2.</w:t>
            </w:r>
            <w:r>
              <w:tab/>
              <w:t xml:space="preserve">Die Entwicklung der Volkswirtschaften verläuft nicht gradlinig, sondern unterliegt </w:t>
            </w:r>
          </w:p>
          <w:p w:rsidR="00A02A25" w:rsidRDefault="00A02A25" w:rsidP="00A02A25">
            <w:pPr>
              <w:pStyle w:val="ekvaufzhlung"/>
            </w:pPr>
            <w:r>
              <w:tab/>
              <w:t>Wirtschaftsschwankungen bzw. Konjunkturzyklen.</w:t>
            </w:r>
          </w:p>
          <w:p w:rsidR="00A02A25" w:rsidRDefault="00A02A25" w:rsidP="00A02A25">
            <w:pPr>
              <w:pStyle w:val="ekvaufzhlung"/>
            </w:pPr>
            <w:r>
              <w:tab/>
              <w:t>a)</w:t>
            </w:r>
            <w:r>
              <w:tab/>
              <w:t xml:space="preserve">Beschreiben Sie den Unterschied zwischen strukturellen und konjunkturellen </w:t>
            </w:r>
          </w:p>
          <w:p w:rsidR="00A02A25" w:rsidRDefault="00A02A25" w:rsidP="00A02A25">
            <w:pPr>
              <w:pStyle w:val="ekvaufzhlung"/>
            </w:pPr>
            <w:r>
              <w:tab/>
            </w:r>
            <w:r>
              <w:tab/>
            </w:r>
            <w:r>
              <w:tab/>
              <w:t>Wirtschaftsschwankungen.</w:t>
            </w:r>
          </w:p>
          <w:p w:rsidR="00A02A25" w:rsidRDefault="00A02A25" w:rsidP="00A02A25">
            <w:pPr>
              <w:pStyle w:val="ekvaufzhlung"/>
            </w:pPr>
            <w:r>
              <w:tab/>
              <w:t>b)</w:t>
            </w:r>
            <w:r>
              <w:tab/>
              <w:t xml:space="preserve">Erklären Sie anhand von vier verschiedenen Indikatoren die Konjunkturphasen </w:t>
            </w:r>
          </w:p>
          <w:p w:rsidR="00A02A25" w:rsidRDefault="00A02A25" w:rsidP="00A02A25">
            <w:pPr>
              <w:pStyle w:val="ekvaufzhlung"/>
            </w:pPr>
            <w:r>
              <w:tab/>
            </w:r>
            <w:r>
              <w:tab/>
            </w:r>
            <w:r>
              <w:tab/>
            </w:r>
            <w:r w:rsidRPr="00755C1B">
              <w:rPr>
                <w:rStyle w:val="ekvkursiv"/>
              </w:rPr>
              <w:t>Aufschwung</w:t>
            </w:r>
            <w:r>
              <w:t xml:space="preserve"> und </w:t>
            </w:r>
            <w:r w:rsidRPr="00755C1B">
              <w:rPr>
                <w:rStyle w:val="ekvkursiv"/>
              </w:rPr>
              <w:t>Hochkonjunktur</w:t>
            </w:r>
            <w:r>
              <w:t>.</w:t>
            </w:r>
          </w:p>
          <w:p w:rsidR="00A02A25" w:rsidRDefault="00A02A25" w:rsidP="00A02A25">
            <w:pPr>
              <w:pStyle w:val="ekvaufzhlung"/>
            </w:pPr>
            <w:r>
              <w:tab/>
              <w:t>c)</w:t>
            </w:r>
            <w:r>
              <w:tab/>
              <w:t>Zeigen Sie den Einsatz staatlicher Instrumentarien in Zeiten der Rezession.</w:t>
            </w:r>
          </w:p>
          <w:p w:rsidR="00A02A25" w:rsidRDefault="00A02A25" w:rsidP="00A02A25">
            <w:pPr>
              <w:pStyle w:val="ekvaufzhlung"/>
            </w:pPr>
          </w:p>
          <w:p w:rsidR="00A02A25" w:rsidRDefault="00A02A25" w:rsidP="00A02A25">
            <w:pPr>
              <w:pStyle w:val="ekvaufzhlung"/>
            </w:pPr>
            <w:r w:rsidRPr="00755C1B">
              <w:rPr>
                <w:rStyle w:val="ekvfett"/>
              </w:rPr>
              <w:t>3.</w:t>
            </w:r>
            <w:r>
              <w:t xml:space="preserve"> </w:t>
            </w:r>
            <w:r>
              <w:tab/>
              <w:t xml:space="preserve">Zu den wirtschaftspolitischen Zielen des Staates gehört das nachhaltige Wachstum. </w:t>
            </w:r>
            <w:r>
              <w:br/>
              <w:t xml:space="preserve">Beschreiben Sie, was man – anders als in </w:t>
            </w:r>
            <w:r w:rsidRPr="0048646A">
              <w:rPr>
                <w:rStyle w:val="ekvfett"/>
                <w:color w:val="FFFFFF" w:themeColor="background1"/>
                <w:highlight w:val="darkGray"/>
              </w:rPr>
              <w:t>M</w:t>
            </w:r>
            <w:r>
              <w:rPr>
                <w:rStyle w:val="ekvfett"/>
                <w:color w:val="FFFFFF" w:themeColor="background1"/>
                <w:highlight w:val="darkGray"/>
              </w:rPr>
              <w:t>2</w:t>
            </w:r>
            <w:r>
              <w:t xml:space="preserve"> darunter versteht. </w:t>
            </w:r>
          </w:p>
          <w:p w:rsidR="00A02A25" w:rsidRDefault="00A02A25" w:rsidP="00A02A25">
            <w:pPr>
              <w:pStyle w:val="ekvaufzhlung"/>
            </w:pPr>
          </w:p>
          <w:p w:rsidR="00A02A25" w:rsidRPr="003C39DC" w:rsidRDefault="00A02A25" w:rsidP="00A02A25">
            <w:pPr>
              <w:pStyle w:val="ekvaufzhlung"/>
            </w:pPr>
            <w:r w:rsidRPr="00755C1B">
              <w:rPr>
                <w:rStyle w:val="ekvfett"/>
              </w:rPr>
              <w:t>4.</w:t>
            </w:r>
            <w:r>
              <w:t xml:space="preserve"> </w:t>
            </w:r>
            <w:r>
              <w:tab/>
            </w:r>
            <w:r w:rsidRPr="00755C1B">
              <w:t>Soll am Wachstum als wirtschaftspolitisches Ziel festgehalten werden? Erörtern Sie diese Frage, indem Sie auf jeweils fünf Vor- und Nachteile eingehen.</w:t>
            </w:r>
          </w:p>
          <w:p w:rsidR="00A02A25" w:rsidRPr="003C39DC" w:rsidRDefault="00A02A25" w:rsidP="00A02A25">
            <w:pPr>
              <w:pStyle w:val="ekvgrundtexthalbe"/>
            </w:pPr>
          </w:p>
        </w:tc>
        <w:tc>
          <w:tcPr>
            <w:tcW w:w="737" w:type="dxa"/>
            <w:tcBorders>
              <w:left w:val="single" w:sz="4" w:space="0" w:color="333333"/>
              <w:bottom w:val="single" w:sz="8" w:space="0" w:color="333333"/>
            </w:tcBorders>
            <w:shd w:val="clear" w:color="auto" w:fill="FFFFFF" w:themeFill="background1"/>
          </w:tcPr>
          <w:p w:rsidR="00A02A25" w:rsidRDefault="00A02A25" w:rsidP="00A02A25">
            <w:pPr>
              <w:jc w:val="center"/>
            </w:pPr>
            <w:r>
              <w:t>4 P.</w:t>
            </w:r>
          </w:p>
          <w:p w:rsidR="00A02A25" w:rsidRDefault="00A02A25" w:rsidP="00A02A25">
            <w:pPr>
              <w:jc w:val="center"/>
            </w:pPr>
          </w:p>
          <w:p w:rsidR="00A02A25" w:rsidRDefault="00A02A25" w:rsidP="00A02A25">
            <w:pPr>
              <w:jc w:val="center"/>
            </w:pPr>
          </w:p>
          <w:p w:rsidR="00A02A25" w:rsidRDefault="00A02A25" w:rsidP="00A02A25">
            <w:pPr>
              <w:jc w:val="center"/>
            </w:pPr>
          </w:p>
          <w:p w:rsidR="00A02A25" w:rsidRDefault="00A02A25" w:rsidP="00A02A25">
            <w:pPr>
              <w:jc w:val="center"/>
            </w:pPr>
          </w:p>
          <w:p w:rsidR="00A02A25" w:rsidRDefault="00A02A25" w:rsidP="00A02A25">
            <w:pPr>
              <w:jc w:val="center"/>
            </w:pPr>
          </w:p>
          <w:p w:rsidR="00A02A25" w:rsidRDefault="00A02A25" w:rsidP="00A02A25">
            <w:pPr>
              <w:jc w:val="center"/>
            </w:pPr>
            <w:r>
              <w:t>3 P.</w:t>
            </w:r>
          </w:p>
          <w:p w:rsidR="00A02A25" w:rsidRDefault="00A02A25" w:rsidP="00A02A25">
            <w:pPr>
              <w:jc w:val="center"/>
            </w:pPr>
          </w:p>
          <w:p w:rsidR="00A02A25" w:rsidRDefault="00A02A25" w:rsidP="00A02A25">
            <w:pPr>
              <w:jc w:val="center"/>
            </w:pPr>
            <w:r>
              <w:t>6 P.</w:t>
            </w:r>
          </w:p>
          <w:p w:rsidR="00A02A25" w:rsidRDefault="00A02A25" w:rsidP="00A02A25">
            <w:pPr>
              <w:jc w:val="center"/>
            </w:pPr>
          </w:p>
          <w:p w:rsidR="00A02A25" w:rsidRDefault="00A02A25" w:rsidP="00A02A25">
            <w:pPr>
              <w:jc w:val="center"/>
            </w:pPr>
            <w:r>
              <w:t>5 P.</w:t>
            </w:r>
          </w:p>
          <w:p w:rsidR="00A02A25" w:rsidRDefault="00A02A25" w:rsidP="00A02A25">
            <w:pPr>
              <w:jc w:val="center"/>
            </w:pPr>
          </w:p>
          <w:p w:rsidR="00A02A25" w:rsidRDefault="00A02A25" w:rsidP="00A02A25">
            <w:pPr>
              <w:jc w:val="center"/>
            </w:pPr>
            <w:r>
              <w:t>4 P.</w:t>
            </w:r>
          </w:p>
          <w:p w:rsidR="00A02A25" w:rsidRDefault="00A02A25" w:rsidP="00A02A25">
            <w:pPr>
              <w:jc w:val="center"/>
            </w:pPr>
          </w:p>
          <w:p w:rsidR="00A02A25" w:rsidRDefault="00A02A25" w:rsidP="00A02A25">
            <w:pPr>
              <w:jc w:val="center"/>
            </w:pPr>
          </w:p>
          <w:p w:rsidR="00A02A25" w:rsidRPr="00755C1B" w:rsidRDefault="00A02A25" w:rsidP="00A02A25">
            <w:pPr>
              <w:jc w:val="center"/>
            </w:pPr>
            <w:r>
              <w:t>8 P.</w:t>
            </w:r>
          </w:p>
        </w:tc>
      </w:tr>
    </w:tbl>
    <w:p w:rsidR="00A02A25" w:rsidRPr="00755C1B" w:rsidRDefault="00A02A25" w:rsidP="00A02A25">
      <w:pPr>
        <w:pStyle w:val="ekvgrundtexthalbe"/>
      </w:pPr>
    </w:p>
    <w:p w:rsidR="00A02A25" w:rsidRDefault="00A02A25" w:rsidP="00A02A25">
      <w:pPr>
        <w:jc w:val="right"/>
      </w:pPr>
      <w:r>
        <w:t>Punkte: 30</w:t>
      </w:r>
    </w:p>
    <w:p w:rsidR="00D500D6" w:rsidRPr="005D2040" w:rsidRDefault="00D500D6" w:rsidP="005D2040"/>
    <w:sectPr w:rsidR="00D500D6" w:rsidRPr="005D2040" w:rsidSect="00EC1FF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25" w:rsidRDefault="00A02A25" w:rsidP="003C599D">
      <w:pPr>
        <w:spacing w:line="240" w:lineRule="auto"/>
      </w:pPr>
      <w:r>
        <w:separator/>
      </w:r>
    </w:p>
  </w:endnote>
  <w:endnote w:type="continuationSeparator" w:id="0">
    <w:p w:rsidR="00A02A25" w:rsidRDefault="00A02A2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F" w:rsidRDefault="00D415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99" w:type="dxa"/>
      <w:tblInd w:w="-822" w:type="dxa"/>
      <w:tblLayout w:type="fixed"/>
      <w:tblCellMar>
        <w:left w:w="0" w:type="dxa"/>
        <w:right w:w="0" w:type="dxa"/>
      </w:tblCellMar>
      <w:tblLook w:val="01E0" w:firstRow="1" w:lastRow="1" w:firstColumn="1" w:lastColumn="1" w:noHBand="0" w:noVBand="0"/>
    </w:tblPr>
    <w:tblGrid>
      <w:gridCol w:w="864"/>
      <w:gridCol w:w="3570"/>
      <w:gridCol w:w="4467"/>
      <w:gridCol w:w="2098"/>
    </w:tblGrid>
    <w:tr w:rsidR="00A02A25" w:rsidRPr="00F42294" w:rsidTr="00C1777A">
      <w:trPr>
        <w:trHeight w:hRule="exact" w:val="680"/>
      </w:trPr>
      <w:tc>
        <w:tcPr>
          <w:tcW w:w="864" w:type="dxa"/>
          <w:noWrap/>
        </w:tcPr>
        <w:p w:rsidR="00A02A25" w:rsidRPr="00913892" w:rsidRDefault="00A02A25" w:rsidP="005E4C30">
          <w:pPr>
            <w:pStyle w:val="ekvpaginabild"/>
            <w:jc w:val="both"/>
          </w:pPr>
          <w:r w:rsidRPr="00913892">
            <w:rPr>
              <w:lang w:eastAsia="de-DE"/>
            </w:rPr>
            <w:drawing>
              <wp:inline distT="0" distB="0" distL="0" distR="0" wp14:anchorId="59D30F10" wp14:editId="10F5AE9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A02A25" w:rsidRPr="00913892" w:rsidRDefault="00A02A25" w:rsidP="00AB230B">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4467" w:type="dxa"/>
          <w:noWrap/>
        </w:tcPr>
        <w:p w:rsidR="00A02A25" w:rsidRDefault="00A02A25" w:rsidP="00054350">
          <w:pPr>
            <w:pStyle w:val="ekvquelle"/>
          </w:pPr>
          <w:r>
            <w:t>Autor</w:t>
          </w:r>
          <w:r w:rsidRPr="004136AD">
            <w:t xml:space="preserve">: </w:t>
          </w:r>
          <w:r>
            <w:t>Wilhelm Overkamp</w:t>
          </w:r>
        </w:p>
        <w:p w:rsidR="00D415FF" w:rsidRPr="004136AD" w:rsidRDefault="002D4255" w:rsidP="00054350">
          <w:pPr>
            <w:pStyle w:val="ekvquelle"/>
          </w:pPr>
          <w:r>
            <w:t xml:space="preserve">Illustration: </w:t>
          </w:r>
          <w:bookmarkStart w:id="1" w:name="_GoBack"/>
          <w:bookmarkEnd w:id="1"/>
          <w:r w:rsidR="00D415FF">
            <w:t>Gerhard</w:t>
          </w:r>
          <w:r w:rsidR="00D415FF">
            <w:t xml:space="preserve"> </w:t>
          </w:r>
          <w:r w:rsidR="00D415FF">
            <w:t>Mester</w:t>
          </w:r>
        </w:p>
        <w:p w:rsidR="00A02A25" w:rsidRPr="00913892" w:rsidRDefault="00A02A25" w:rsidP="002F7FD8">
          <w:pPr>
            <w:pStyle w:val="ekvquelle"/>
            <w:ind w:left="0"/>
          </w:pPr>
        </w:p>
      </w:tc>
      <w:tc>
        <w:tcPr>
          <w:tcW w:w="2098" w:type="dxa"/>
        </w:tcPr>
        <w:p w:rsidR="00A02A25" w:rsidRPr="00833130" w:rsidRDefault="00A02A25" w:rsidP="003539DF">
          <w:pPr>
            <w:pStyle w:val="ekvpagina"/>
            <w:rPr>
              <w:b/>
              <w:bCs/>
            </w:rPr>
          </w:pPr>
          <w:r w:rsidRPr="00833130">
            <w:rPr>
              <w:b/>
              <w:bCs/>
            </w:rPr>
            <w:t xml:space="preserve">Klassenarbeitsvorschlag Kapitel </w:t>
          </w:r>
          <w:r>
            <w:rPr>
              <w:b/>
              <w:bCs/>
            </w:rPr>
            <w:t>7</w:t>
          </w:r>
        </w:p>
        <w:p w:rsidR="00A02A25" w:rsidRPr="00913892" w:rsidRDefault="00A02A25" w:rsidP="003539DF">
          <w:pPr>
            <w:pStyle w:val="ekvpagina"/>
          </w:pPr>
          <w:r>
            <w:t>Deutschland in Europa und der Welt</w:t>
          </w:r>
        </w:p>
      </w:tc>
    </w:tr>
  </w:tbl>
  <w:p w:rsidR="00A02A25" w:rsidRDefault="00A02A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F" w:rsidRDefault="00D415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25" w:rsidRDefault="00A02A25" w:rsidP="003C599D">
      <w:pPr>
        <w:spacing w:line="240" w:lineRule="auto"/>
      </w:pPr>
      <w:r>
        <w:separator/>
      </w:r>
    </w:p>
  </w:footnote>
  <w:footnote w:type="continuationSeparator" w:id="0">
    <w:p w:rsidR="00A02A25" w:rsidRDefault="00A02A25"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F" w:rsidRDefault="00D415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F" w:rsidRDefault="00D415F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F" w:rsidRDefault="00D415F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36"/>
    <w:rsid w:val="000040E2"/>
    <w:rsid w:val="0001210D"/>
    <w:rsid w:val="00014D7E"/>
    <w:rsid w:val="0002009E"/>
    <w:rsid w:val="00020440"/>
    <w:rsid w:val="000307B4"/>
    <w:rsid w:val="00035074"/>
    <w:rsid w:val="00037566"/>
    <w:rsid w:val="00043523"/>
    <w:rsid w:val="000520A2"/>
    <w:rsid w:val="000523D4"/>
    <w:rsid w:val="00053B2F"/>
    <w:rsid w:val="00054350"/>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87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4255"/>
    <w:rsid w:val="002D7B0C"/>
    <w:rsid w:val="002D7B42"/>
    <w:rsid w:val="002E163A"/>
    <w:rsid w:val="002E21C3"/>
    <w:rsid w:val="002F1328"/>
    <w:rsid w:val="002F13BC"/>
    <w:rsid w:val="002F7FD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39DF"/>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A3A"/>
    <w:rsid w:val="00486B3D"/>
    <w:rsid w:val="00490692"/>
    <w:rsid w:val="004925F2"/>
    <w:rsid w:val="004A66C3"/>
    <w:rsid w:val="004A66CF"/>
    <w:rsid w:val="004B17DA"/>
    <w:rsid w:val="004E3969"/>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204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51E"/>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18AD"/>
    <w:rsid w:val="00787700"/>
    <w:rsid w:val="00794685"/>
    <w:rsid w:val="007A18E0"/>
    <w:rsid w:val="007A2F5A"/>
    <w:rsid w:val="007A5AA1"/>
    <w:rsid w:val="007C1230"/>
    <w:rsid w:val="007D186F"/>
    <w:rsid w:val="007E4DDC"/>
    <w:rsid w:val="007E5E71"/>
    <w:rsid w:val="007E67B3"/>
    <w:rsid w:val="00801B7F"/>
    <w:rsid w:val="00802E02"/>
    <w:rsid w:val="008067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4C6A"/>
    <w:rsid w:val="00882053"/>
    <w:rsid w:val="008942A2"/>
    <w:rsid w:val="0089534A"/>
    <w:rsid w:val="008A529C"/>
    <w:rsid w:val="008B446A"/>
    <w:rsid w:val="008B5E47"/>
    <w:rsid w:val="008C0880"/>
    <w:rsid w:val="008C27FD"/>
    <w:rsid w:val="008D3CE0"/>
    <w:rsid w:val="008D7FDC"/>
    <w:rsid w:val="008E3A7A"/>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2A25"/>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230B"/>
    <w:rsid w:val="00AB5327"/>
    <w:rsid w:val="00AB64FF"/>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3636"/>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77A"/>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415FF"/>
    <w:rsid w:val="00D500D6"/>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81EBD"/>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4635A"/>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Hilgenfeld, Petra</cp:lastModifiedBy>
  <cp:revision>10</cp:revision>
  <cp:lastPrinted>2016-12-23T16:36:00Z</cp:lastPrinted>
  <dcterms:created xsi:type="dcterms:W3CDTF">2019-06-28T10:23:00Z</dcterms:created>
  <dcterms:modified xsi:type="dcterms:W3CDTF">2019-07-10T07:21:00Z</dcterms:modified>
</cp:coreProperties>
</file>