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205265" w:rsidP="007C1230">
            <w:pPr>
              <w:pStyle w:val="ekvkolumnentitel"/>
            </w:pPr>
            <w:r>
              <w:t>Zu: S. 239 b | Aufgabe 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vnummer"/>
            </w:pPr>
            <w:r w:rsidRPr="007C1230">
              <w:t xml:space="preserve">KV </w:t>
            </w:r>
            <w:r w:rsidR="00205265"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205265" w:rsidP="007C1230">
            <w:pPr>
              <w:pStyle w:val="ekvkapitel"/>
            </w:pPr>
            <w: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205265" w:rsidP="00205265">
      <w:pPr>
        <w:pStyle w:val="ekvue1arial"/>
      </w:pPr>
      <w:bookmarkStart w:id="0" w:name="bmStart"/>
      <w:bookmarkEnd w:id="0"/>
      <w:r>
        <w:t>Hedonistisches Kalkül</w:t>
      </w:r>
    </w:p>
    <w:p w:rsidR="00205265" w:rsidRDefault="00205265" w:rsidP="007E52E1"/>
    <w:p w:rsidR="000E3EB1" w:rsidRDefault="000E3EB1" w:rsidP="007053B2">
      <w:pPr>
        <w:pStyle w:val="ekvgrundtexthalbe"/>
      </w:pPr>
    </w:p>
    <w:p w:rsidR="00205265" w:rsidRDefault="00205265" w:rsidP="00205265">
      <w:r>
        <w:t xml:space="preserve">Bei Bentham finden sich zur Berechnung keine genauen Angaben. Es empfiehlt sich, einen Maßstab von </w:t>
      </w:r>
    </w:p>
    <w:p w:rsidR="00205265" w:rsidRDefault="00205265" w:rsidP="00205265">
      <w:r>
        <w:t>+</w:t>
      </w:r>
      <w:r w:rsidR="007053B2">
        <w:t xml:space="preserve"> </w:t>
      </w:r>
      <w:r>
        <w:t xml:space="preserve">10 (maximales Glück) bis </w:t>
      </w:r>
      <w:r w:rsidR="007053B2">
        <w:t xml:space="preserve">– </w:t>
      </w:r>
      <w:r>
        <w:t>10 (maximales Leid) anzulegen.</w:t>
      </w:r>
    </w:p>
    <w:p w:rsidR="00205265" w:rsidRDefault="00205265" w:rsidP="0020526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6A3884" w:rsidRPr="003C39DC" w:rsidTr="006A3884">
        <w:trPr>
          <w:trHeight w:val="1031"/>
        </w:trPr>
        <w:tc>
          <w:tcPr>
            <w:tcW w:w="3118" w:type="dxa"/>
            <w:shd w:val="clear" w:color="auto" w:fill="FFFFFF" w:themeFill="background1"/>
          </w:tcPr>
          <w:p w:rsidR="006A3884" w:rsidRPr="00205265" w:rsidRDefault="006A3884" w:rsidP="006A3884">
            <w:pPr>
              <w:pStyle w:val="ekvtabellezentriert"/>
              <w:rPr>
                <w:rStyle w:val="ekvfett"/>
              </w:rPr>
            </w:pPr>
            <w:r w:rsidRPr="00205265">
              <w:rPr>
                <w:rStyle w:val="ekvfett"/>
              </w:rPr>
              <w:t>Betroffene Personen</w:t>
            </w:r>
          </w:p>
          <w:p w:rsidR="006A3884" w:rsidRDefault="006A3884" w:rsidP="006A3884">
            <w:pPr>
              <w:pStyle w:val="ekvtabellezentriert"/>
            </w:pPr>
          </w:p>
          <w:p w:rsidR="006A3884" w:rsidRDefault="006A3884" w:rsidP="006A3884">
            <w:pPr>
              <w:pStyle w:val="ekvtabellezentriert"/>
            </w:pPr>
            <w:r>
              <w:t xml:space="preserve">(Ediths Familie (4 Personen), </w:t>
            </w:r>
            <w:r>
              <w:br/>
              <w:t>120 Waisenkinder, … )</w:t>
            </w:r>
          </w:p>
          <w:p w:rsidR="006A3884" w:rsidRPr="00205265" w:rsidRDefault="006A3884" w:rsidP="006A3884">
            <w:pPr>
              <w:pStyle w:val="ekvtabellezentriert"/>
              <w:rPr>
                <w:rStyle w:val="ekvfett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6A3884" w:rsidRPr="00205265" w:rsidRDefault="006A3884" w:rsidP="006A3884">
            <w:pPr>
              <w:pStyle w:val="ekvtabellezentriert"/>
              <w:rPr>
                <w:rStyle w:val="ekvfett"/>
              </w:rPr>
            </w:pPr>
            <w:r w:rsidRPr="00205265">
              <w:rPr>
                <w:rStyle w:val="ekvfett"/>
              </w:rPr>
              <w:t>Handlungsoption 1</w:t>
            </w:r>
          </w:p>
          <w:p w:rsidR="006A3884" w:rsidRDefault="006A3884" w:rsidP="006A3884">
            <w:pPr>
              <w:pStyle w:val="ekvtabellezentriert"/>
            </w:pPr>
          </w:p>
          <w:p w:rsidR="006A3884" w:rsidRPr="00205265" w:rsidRDefault="006A3884" w:rsidP="006A3884">
            <w:pPr>
              <w:pStyle w:val="ekvtabellezentriert"/>
              <w:rPr>
                <w:rStyle w:val="ekvfett"/>
              </w:rPr>
            </w:pPr>
            <w:r>
              <w:t>Reise na</w:t>
            </w:r>
            <w:bookmarkStart w:id="1" w:name="_GoBack"/>
            <w:bookmarkEnd w:id="1"/>
            <w:r>
              <w:t>ch Kanada</w:t>
            </w:r>
          </w:p>
        </w:tc>
        <w:tc>
          <w:tcPr>
            <w:tcW w:w="3119" w:type="dxa"/>
            <w:shd w:val="clear" w:color="auto" w:fill="FFFFFF" w:themeFill="background1"/>
          </w:tcPr>
          <w:p w:rsidR="006A3884" w:rsidRPr="006A3884" w:rsidRDefault="006A3884" w:rsidP="006A3884">
            <w:pPr>
              <w:pStyle w:val="ekvtabellezentriert"/>
              <w:rPr>
                <w:rStyle w:val="ekvfett"/>
              </w:rPr>
            </w:pPr>
            <w:r w:rsidRPr="006A3884">
              <w:rPr>
                <w:rStyle w:val="ekvfett"/>
              </w:rPr>
              <w:t>Handlungsoption 2</w:t>
            </w:r>
          </w:p>
          <w:p w:rsidR="006A3884" w:rsidRPr="006A3884" w:rsidRDefault="006A3884" w:rsidP="006A3884">
            <w:pPr>
              <w:pStyle w:val="ekvtabellezentriert"/>
            </w:pPr>
          </w:p>
          <w:p w:rsidR="006A3884" w:rsidRPr="00205265" w:rsidRDefault="006A3884" w:rsidP="006A3884">
            <w:pPr>
              <w:pStyle w:val="ekvtabellezentriert"/>
              <w:rPr>
                <w:rStyle w:val="ekvfett"/>
              </w:rPr>
            </w:pPr>
            <w:r w:rsidRPr="006A3884">
              <w:t>Spende an das Waisenhaus in Ghana</w:t>
            </w:r>
          </w:p>
        </w:tc>
      </w:tr>
      <w:tr w:rsidR="00205265" w:rsidRPr="003C39DC" w:rsidTr="006A3884">
        <w:trPr>
          <w:trHeight w:val="2238"/>
        </w:trPr>
        <w:tc>
          <w:tcPr>
            <w:tcW w:w="3118" w:type="dxa"/>
          </w:tcPr>
          <w:p w:rsidR="006A3884" w:rsidRDefault="006A3884" w:rsidP="007053B2">
            <w:pPr>
              <w:pStyle w:val="ekvtabellelinks"/>
            </w:pPr>
          </w:p>
          <w:p w:rsidR="00205265" w:rsidRDefault="00205265" w:rsidP="007053B2">
            <w:pPr>
              <w:pStyle w:val="ekvtabellelinks"/>
            </w:pPr>
            <w:r>
              <w:t>Ediths Familie</w:t>
            </w:r>
          </w:p>
          <w:p w:rsidR="00205265" w:rsidRPr="003C39DC" w:rsidRDefault="00205265" w:rsidP="007053B2">
            <w:pPr>
              <w:pStyle w:val="ekvtabellelinks"/>
            </w:pPr>
            <w:r>
              <w:t>(4 Personen)</w:t>
            </w:r>
          </w:p>
        </w:tc>
        <w:tc>
          <w:tcPr>
            <w:tcW w:w="3119" w:type="dxa"/>
          </w:tcPr>
          <w:p w:rsidR="00205265" w:rsidRPr="003C39DC" w:rsidRDefault="00205265" w:rsidP="007053B2">
            <w:pPr>
              <w:pStyle w:val="ekvtabellelinks"/>
            </w:pPr>
          </w:p>
        </w:tc>
        <w:tc>
          <w:tcPr>
            <w:tcW w:w="3119" w:type="dxa"/>
          </w:tcPr>
          <w:p w:rsidR="00205265" w:rsidRPr="003C39DC" w:rsidRDefault="00205265" w:rsidP="007053B2">
            <w:pPr>
              <w:pStyle w:val="ekvtabellelinks"/>
            </w:pPr>
          </w:p>
        </w:tc>
      </w:tr>
      <w:tr w:rsidR="00205265" w:rsidRPr="003C39DC" w:rsidTr="006A3884">
        <w:trPr>
          <w:trHeight w:val="2238"/>
        </w:trPr>
        <w:tc>
          <w:tcPr>
            <w:tcW w:w="3118" w:type="dxa"/>
          </w:tcPr>
          <w:p w:rsidR="006A3884" w:rsidRDefault="006A3884" w:rsidP="007053B2">
            <w:pPr>
              <w:pStyle w:val="ekvtabellelinks"/>
            </w:pPr>
          </w:p>
          <w:p w:rsidR="00205265" w:rsidRDefault="00205265" w:rsidP="007053B2">
            <w:pPr>
              <w:pStyle w:val="ekvtabellelinks"/>
            </w:pPr>
            <w:r>
              <w:t xml:space="preserve">Waisenkinder </w:t>
            </w:r>
          </w:p>
          <w:p w:rsidR="00205265" w:rsidRPr="003C39DC" w:rsidRDefault="00205265" w:rsidP="007053B2">
            <w:pPr>
              <w:pStyle w:val="ekvtabellelinks"/>
            </w:pPr>
            <w:r>
              <w:t>(120 Personen)</w:t>
            </w:r>
          </w:p>
        </w:tc>
        <w:tc>
          <w:tcPr>
            <w:tcW w:w="3119" w:type="dxa"/>
          </w:tcPr>
          <w:p w:rsidR="00205265" w:rsidRPr="003C39DC" w:rsidRDefault="00205265" w:rsidP="007053B2">
            <w:pPr>
              <w:pStyle w:val="ekvtabellelinks"/>
            </w:pPr>
          </w:p>
        </w:tc>
        <w:tc>
          <w:tcPr>
            <w:tcW w:w="3119" w:type="dxa"/>
          </w:tcPr>
          <w:p w:rsidR="00205265" w:rsidRPr="003C39DC" w:rsidRDefault="00205265" w:rsidP="007053B2">
            <w:pPr>
              <w:pStyle w:val="ekvtabellelinks"/>
            </w:pPr>
          </w:p>
        </w:tc>
      </w:tr>
      <w:tr w:rsidR="00205265" w:rsidRPr="003C39DC" w:rsidTr="006A3884">
        <w:trPr>
          <w:trHeight w:val="2238"/>
        </w:trPr>
        <w:tc>
          <w:tcPr>
            <w:tcW w:w="3118" w:type="dxa"/>
          </w:tcPr>
          <w:p w:rsidR="00205265" w:rsidRPr="003C39DC" w:rsidRDefault="00205265" w:rsidP="007053B2">
            <w:pPr>
              <w:pStyle w:val="ekvtabellelinks"/>
            </w:pPr>
          </w:p>
        </w:tc>
        <w:tc>
          <w:tcPr>
            <w:tcW w:w="3119" w:type="dxa"/>
          </w:tcPr>
          <w:p w:rsidR="00205265" w:rsidRPr="003C39DC" w:rsidRDefault="00205265" w:rsidP="007053B2">
            <w:pPr>
              <w:pStyle w:val="ekvtabellelinks"/>
            </w:pPr>
          </w:p>
        </w:tc>
        <w:tc>
          <w:tcPr>
            <w:tcW w:w="3119" w:type="dxa"/>
          </w:tcPr>
          <w:p w:rsidR="00205265" w:rsidRPr="003C39DC" w:rsidRDefault="00205265" w:rsidP="007053B2">
            <w:pPr>
              <w:pStyle w:val="ekvtabellelinks"/>
            </w:pPr>
          </w:p>
        </w:tc>
      </w:tr>
      <w:tr w:rsidR="00205265" w:rsidRPr="003C39DC" w:rsidTr="006A3884">
        <w:trPr>
          <w:trHeight w:val="2238"/>
        </w:trPr>
        <w:tc>
          <w:tcPr>
            <w:tcW w:w="3118" w:type="dxa"/>
          </w:tcPr>
          <w:p w:rsidR="00205265" w:rsidRPr="003C39DC" w:rsidRDefault="00205265" w:rsidP="007053B2">
            <w:pPr>
              <w:pStyle w:val="ekvtabellelinks"/>
            </w:pPr>
          </w:p>
        </w:tc>
        <w:tc>
          <w:tcPr>
            <w:tcW w:w="3119" w:type="dxa"/>
          </w:tcPr>
          <w:p w:rsidR="00205265" w:rsidRPr="003C39DC" w:rsidRDefault="00205265" w:rsidP="007053B2">
            <w:pPr>
              <w:pStyle w:val="ekvtabellelinks"/>
            </w:pPr>
          </w:p>
        </w:tc>
        <w:tc>
          <w:tcPr>
            <w:tcW w:w="3119" w:type="dxa"/>
          </w:tcPr>
          <w:p w:rsidR="00205265" w:rsidRPr="003C39DC" w:rsidRDefault="00205265" w:rsidP="007053B2">
            <w:pPr>
              <w:pStyle w:val="ekvtabellelinks"/>
            </w:pPr>
          </w:p>
        </w:tc>
      </w:tr>
    </w:tbl>
    <w:p w:rsidR="00205265" w:rsidRDefault="00205265" w:rsidP="007053B2"/>
    <w:sectPr w:rsidR="00205265" w:rsidSect="001D1169">
      <w:footerReference w:type="default" r:id="rId8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265" w:rsidRDefault="00205265" w:rsidP="003C599D">
      <w:pPr>
        <w:spacing w:line="240" w:lineRule="auto"/>
      </w:pPr>
      <w:r>
        <w:separator/>
      </w:r>
    </w:p>
  </w:endnote>
  <w:endnote w:type="continuationSeparator" w:id="0">
    <w:p w:rsidR="00205265" w:rsidRDefault="0020526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205265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Pr="000B425B" w:rsidRDefault="00205265" w:rsidP="000B425B">
          <w:pPr>
            <w:pStyle w:val="ekvquelle"/>
          </w:pPr>
          <w:r>
            <w:t>Autor: Götz Distelrath</w:t>
          </w:r>
          <w:r w:rsidR="006A3884">
            <w:t>, Freiburg i. Br.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265" w:rsidRDefault="00205265" w:rsidP="003C599D">
      <w:pPr>
        <w:spacing w:line="240" w:lineRule="auto"/>
      </w:pPr>
      <w:r>
        <w:separator/>
      </w:r>
    </w:p>
  </w:footnote>
  <w:footnote w:type="continuationSeparator" w:id="0">
    <w:p w:rsidR="00205265" w:rsidRDefault="00205265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B629C"/>
    <w:multiLevelType w:val="hybridMultilevel"/>
    <w:tmpl w:val="92FEA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65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E3EB1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05265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E5BB0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3884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53B2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24B9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20EA58"/>
  <w15:chartTrackingRefBased/>
  <w15:docId w15:val="{CDB9CDD8-6CAC-4B70-A629-E34EEFF1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"/>
    <w:semiHidden/>
    <w:qFormat/>
    <w:rsid w:val="0020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312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9950-2965-47ED-A78E-991668C4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2016-12-23T16:36:00Z</cp:lastPrinted>
  <dcterms:created xsi:type="dcterms:W3CDTF">2019-10-30T09:57:00Z</dcterms:created>
  <dcterms:modified xsi:type="dcterms:W3CDTF">2019-11-13T15:52:00Z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